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331/2019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331/2019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16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92"/>
        <w:gridCol w:w="2027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4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1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4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Robotnicza184/II/10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214/17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3.1105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Udział do 1/2 części lokalu mieszkalnego nr 10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o pow. 43,1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superscript"/>
              </w:rPr>
              <w:t xml:space="preserve">2 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wraz z przynależnym pomieszczeniem piwnicznym o pow. 3,78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superscript"/>
              </w:rPr>
              <w:t>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Udział w lokalu zbywany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9) u.g.n. -  na rzecz innych współwłaścicieli nieruchomości.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126.900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331/2019 z dnia 16 lipca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2019-07-17T12:18:04Z</dcterms:created>
  <dcterms:modified xsi:type="dcterms:W3CDTF">2019-07-17T12:18:04Z</dcterms:modified>
  <cp:category>Akt prawny</cp:category>
</cp:coreProperties>
</file>