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289/2020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289/2020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 lipca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372"/>
        <w:gridCol w:w="109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3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2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3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Czerniakowska 12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76376/2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54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0,0565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zabudowana budynkiem internatu o pow. użytkowej 473,62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. Przeznaczenie zgodne z  miejscowym planem  zagospodarowania przestrzennego terenu Osiek - Junaków w Elblągu: obiekty usług nieuciążliwych, obiekty administracji gospodarczej, obsługi technicznej miasta.</w:t>
            </w:r>
          </w:p>
          <w:p>
            <w:pPr>
              <w:jc w:val="center"/>
            </w:pPr>
            <w:r>
              <w:rPr>
                <w:sz w:val="20"/>
              </w:rPr>
              <w:t xml:space="preserve"> Nieruchomość zbywana w trybie</w:t>
            </w:r>
          </w:p>
          <w:p>
            <w:pPr>
              <w:jc w:val="center"/>
            </w:pPr>
            <w:r>
              <w:rPr>
                <w:sz w:val="20"/>
              </w:rPr>
              <w:t xml:space="preserve"> art. 14 ust.1 u.g.n.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1,00 zł</w:t>
            </w:r>
          </w:p>
          <w:p>
            <w:pPr>
              <w:jc w:val="center"/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89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Wartość rynkowa nieruchomości została ustalona przez rzeczoznawcę majątkowego: </w:t>
            </w:r>
          </w:p>
          <w:p>
            <w:pPr>
              <w:jc w:val="center"/>
            </w:pPr>
            <w:r>
              <w:rPr>
                <w:sz w:val="16"/>
              </w:rPr>
              <w:t>grunt -  136.278,00 zł,</w:t>
            </w:r>
          </w:p>
          <w:p>
            <w:pPr>
              <w:jc w:val="center"/>
            </w:pPr>
            <w:r>
              <w:rPr>
                <w:sz w:val="16"/>
              </w:rPr>
              <w:t xml:space="preserve"> budynek -  1.566.498,00 zł.</w:t>
            </w:r>
          </w:p>
          <w:p>
            <w:pPr>
              <w:jc w:val="center"/>
            </w:pPr>
            <w:r>
              <w:rPr>
                <w:sz w:val="16"/>
              </w:rPr>
              <w:t xml:space="preserve"> Łącznie 1.702.776,00 zł.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 xml:space="preserve">Sporządziła: Katarzyna Zaborowska, Specjalista 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289/2020 z dnia 10 lipca 2020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2020-07-16T10:27:34Z</dcterms:created>
  <dcterms:modified xsi:type="dcterms:W3CDTF">2020-07-16T10:27:34Z</dcterms:modified>
  <cp:category>Akt prawny</cp:category>
</cp:coreProperties>
</file>