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4"/>
        </w:rPr>
      </w:pPr>
      <w:r>
        <w:rPr>
          <w:rFonts w:ascii="Times New Roman" w:eastAsia="Times New Roman" w:hAnsi="Times New Roman" w:cs="Times New Roman"/>
          <w:b/>
          <w:caps/>
          <w:sz w:val="24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4"/>
        </w:rPr>
        <w:t xml:space="preserve"> Nr 431/2020</w:t>
      </w:r>
      <w:r>
        <w:rPr>
          <w:rFonts w:ascii="Times New Roman" w:eastAsia="Times New Roman" w:hAnsi="Times New Roman" w:cs="Times New Roman"/>
          <w:b/>
          <w:caps/>
          <w:sz w:val="24"/>
        </w:rPr>
        <w:br/>
      </w:r>
      <w:r>
        <w:rPr>
          <w:rFonts w:ascii="Times New Roman" w:eastAsia="Times New Roman" w:hAnsi="Times New Roman" w:cs="Times New Roman"/>
          <w:b/>
          <w:caps/>
          <w:sz w:val="24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4"/>
        </w:rPr>
      </w:pPr>
      <w:r>
        <w:rPr>
          <w:rFonts w:ascii="Times New Roman" w:eastAsia="Times New Roman" w:hAnsi="Times New Roman" w:cs="Times New Roman"/>
          <w:b w:val="0"/>
          <w:caps w:val="0"/>
          <w:sz w:val="24"/>
        </w:rPr>
        <w:t>z dnia 2 listopada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4"/>
        </w:rPr>
        <w:t>w sprawie wzajemnego przeniesienia praw do nieruchomości gruntowych położonych przy                       ul. Robotniczej w Elblągu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ust.2 pkt.3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marca 1990r.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713 ze zm.) oraz § 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5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obciążania nieruchomości Gminy Miasto Elbląg oraz ich wydzierżawiania lub wynajmowania na czas oznaczony dłuższy niż trzy lata lub na czas nieoznaczony, stanowiących załącznik do uchwały Nr XIV/265/08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kwietnia 2008r.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sprawie określenie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obciążania nieruchomości Gminy Miasto Elbląg oraz ich wydzierżawiania lub wynajmowania na czas oznaczony dłuższy niż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lata lub na czas nieoznaczony (Dz. Urz. Woj. Warmińsko-Mazurskiego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3794),</w:t>
      </w:r>
    </w:p>
    <w:p w:rsidR="00A77B3E">
      <w:pPr>
        <w:keepNext w:val="0"/>
        <w:keepLines w:val="0"/>
        <w:spacing w:before="280" w:after="2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t>z a</w:t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t>r z</w:t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t>ą d z</w:t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t>a   się, 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4"/>
        </w:rPr>
        <w:t>§ 1. </w:t>
      </w:r>
      <w:r>
        <w:rPr>
          <w:rFonts w:ascii="Times New Roman" w:eastAsia="Times New Roman" w:hAnsi="Times New Roman" w:cs="Times New Roman"/>
          <w:sz w:val="24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Postanawia się nabyć na rzecz Gminy Miasto Elbląg, od Powszechnej Spółdzielni Spożywców "Społem" w Elblągu, prawo użytkowania wieczystego niezabudowanej nieruchomości gruntowej,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Elblągu przy ul. Robotniczej, oznaczonej 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obrębie 3, jako działka nr 446/1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pow. 0,0320 ha, dla której prowadzona jest księga wieczysta KW EL1E/00036374/6, która pełni funkcję publicznej obsługi komunikacyjnej terenów przyległych, w zamian za przeniesienie na rzecz Powszechnej Spółdzielni Spożywców "Społem" w Elblągu, prawa użytkowania wieczystego nieruchomości gruntowej, stanowiącej własność Gminy Miasto Elbląg,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Elblągu przy ul. Robotniczej, oznaczonej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obrębie 3, jako działka nr 447/3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pow. 0,0140 ha, dla której prowadzona jest księga wieczysta KW EL1E/00032726/1.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4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Szczegółowe warunki przeniesienia praw do nieruchomości,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protokole       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4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zarządzenia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drodze umowy sporządzonej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aktu notarialnego.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4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podpisania.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11"/>
        <w:gridCol w:w="521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 w:val="22"/>
          <w:szCs w:val="20"/>
        </w:rPr>
      </w:pPr>
      <w:r>
        <w:rPr>
          <w:sz w:val="22"/>
          <w:szCs w:val="20"/>
        </w:rPr>
        <w:t xml:space="preserve">Powszechna Spółdzielnia Spożywców „Społem” </w:t>
      </w:r>
      <w:r>
        <w:rPr>
          <w:sz w:val="22"/>
          <w:szCs w:val="20"/>
        </w:rPr>
        <w:t>z siedzibą w Elblągu jest użytkownikiem wieczystym nieruchomości gruntow</w:t>
      </w:r>
      <w:r>
        <w:rPr>
          <w:sz w:val="22"/>
          <w:szCs w:val="20"/>
        </w:rPr>
        <w:t>ej,</w:t>
      </w:r>
      <w:r>
        <w:rPr>
          <w:sz w:val="22"/>
          <w:szCs w:val="20"/>
        </w:rPr>
        <w:t xml:space="preserve"> położon</w:t>
      </w:r>
      <w:r>
        <w:rPr>
          <w:sz w:val="22"/>
          <w:szCs w:val="20"/>
        </w:rPr>
        <w:t>ej</w:t>
      </w:r>
      <w:r>
        <w:rPr>
          <w:sz w:val="22"/>
          <w:szCs w:val="20"/>
        </w:rPr>
        <w:t xml:space="preserve"> w Elblągu przy ul.</w:t>
      </w:r>
      <w:r>
        <w:rPr>
          <w:sz w:val="22"/>
          <w:szCs w:val="20"/>
        </w:rPr>
        <w:t xml:space="preserve"> Robotniczej, </w:t>
      </w:r>
      <w:r>
        <w:rPr>
          <w:sz w:val="22"/>
          <w:szCs w:val="20"/>
        </w:rPr>
        <w:t xml:space="preserve"> oznaczon</w:t>
      </w:r>
      <w:r>
        <w:rPr>
          <w:sz w:val="22"/>
          <w:szCs w:val="20"/>
        </w:rPr>
        <w:t>ej</w:t>
      </w:r>
      <w:r>
        <w:rPr>
          <w:sz w:val="22"/>
          <w:szCs w:val="20"/>
        </w:rPr>
        <w:t xml:space="preserve"> w ewidencji gruntów i budynków w obrębie </w:t>
      </w:r>
      <w:r>
        <w:rPr>
          <w:sz w:val="22"/>
          <w:szCs w:val="20"/>
        </w:rPr>
        <w:t>3</w:t>
      </w:r>
      <w:r>
        <w:rPr>
          <w:sz w:val="22"/>
          <w:szCs w:val="20"/>
        </w:rPr>
        <w:t>, jako działk</w:t>
      </w:r>
      <w:r>
        <w:rPr>
          <w:sz w:val="22"/>
          <w:szCs w:val="20"/>
        </w:rPr>
        <w:t>a</w:t>
      </w:r>
      <w:r>
        <w:rPr>
          <w:sz w:val="22"/>
          <w:szCs w:val="20"/>
        </w:rPr>
        <w:t xml:space="preserve"> nr </w:t>
      </w:r>
      <w:r>
        <w:rPr>
          <w:sz w:val="22"/>
          <w:szCs w:val="20"/>
        </w:rPr>
        <w:t>446/1.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76" w:lineRule="auto"/>
        <w:ind w:left="0" w:right="0" w:firstLine="227"/>
        <w:contextualSpacing w:val="0"/>
        <w:rPr>
          <w:sz w:val="22"/>
          <w:szCs w:val="20"/>
        </w:rPr>
      </w:pPr>
      <w:r>
        <w:rPr>
          <w:sz w:val="22"/>
          <w:szCs w:val="20"/>
        </w:rPr>
        <w:t>Gmina Miasto Elbląg zamierza zbyć w drodze przetargu nieograniczonego</w:t>
      </w:r>
      <w:r>
        <w:rPr>
          <w:sz w:val="22"/>
          <w:szCs w:val="20"/>
        </w:rPr>
        <w:t xml:space="preserve">, sąsiednią </w:t>
      </w:r>
      <w:r>
        <w:rPr>
          <w:sz w:val="22"/>
          <w:szCs w:val="20"/>
        </w:rPr>
        <w:t>nieruchomość gruntową</w:t>
      </w:r>
      <w:r>
        <w:rPr>
          <w:sz w:val="22"/>
          <w:szCs w:val="20"/>
        </w:rPr>
        <w:t>,</w:t>
      </w:r>
      <w:r>
        <w:rPr>
          <w:sz w:val="22"/>
          <w:szCs w:val="20"/>
        </w:rPr>
        <w:t xml:space="preserve"> oznaczoną w ewidencji gruntów i budynków w obrębie 3 jako działka nr 445/3</w:t>
      </w:r>
      <w:r>
        <w:rPr>
          <w:sz w:val="22"/>
          <w:szCs w:val="20"/>
        </w:rPr>
        <w:t>, która z</w:t>
      </w:r>
      <w:r>
        <w:rPr>
          <w:sz w:val="22"/>
          <w:szCs w:val="20"/>
        </w:rPr>
        <w:t>godnie z miejscowym planem zagospodarowania przestrzennego obszaru Kępa Północna-Centrum, znajduje się w jednostce planistycznej U2 – nieuciążliwe usługi, dla której ustalono przeznaczenie uzupełniające – zieleń towarzysząca zabudowie, obsługa komunikacyjna w zakresie dróg wewnętrznych, ciągów spacerowych, miejsc postojowych oraz parkingu podziemnego, sieci i urządzenia infrastruktury technicznej, dla której ustalono obsługę komunikacyjną terenu od ulicy Robotniczej. Departament Zarządu Dróg wm. pozytywnie zaopiniował zbycie działki nr 445/3, wskazując iż najkorzystniejszym rozwiązaniem z punktu widzenia bezpieczeństwa ruchu drogowego, byłoby utworzenie dla nieruchomości zjazdu z działki nr 446</w:t>
      </w:r>
      <w:r>
        <w:rPr>
          <w:sz w:val="22"/>
          <w:szCs w:val="20"/>
        </w:rPr>
        <w:t xml:space="preserve">/1, </w:t>
      </w:r>
      <w:r>
        <w:rPr>
          <w:sz w:val="22"/>
          <w:szCs w:val="20"/>
        </w:rPr>
        <w:t>która w chwili obecnej stanowi teren komunikacji</w:t>
      </w:r>
      <w:r>
        <w:rPr>
          <w:sz w:val="22"/>
          <w:szCs w:val="20"/>
        </w:rPr>
        <w:t>,</w:t>
      </w:r>
      <w:r>
        <w:rPr>
          <w:sz w:val="22"/>
          <w:szCs w:val="20"/>
        </w:rPr>
        <w:t xml:space="preserve"> z którego korzystają właściciele lokali mieszkalnych sąsiednich wspólnot mieszkaniowych oraz PSS Społem</w:t>
      </w:r>
      <w:r>
        <w:rPr>
          <w:sz w:val="22"/>
          <w:szCs w:val="20"/>
        </w:rPr>
        <w:t>.</w:t>
      </w:r>
      <w:r>
        <w:rPr>
          <w:sz w:val="22"/>
          <w:szCs w:val="20"/>
        </w:rPr>
        <w:t xml:space="preserve"> </w:t>
      </w:r>
      <w:r>
        <w:rPr>
          <w:sz w:val="22"/>
          <w:szCs w:val="20"/>
        </w:rPr>
        <w:t>P</w:t>
      </w:r>
      <w:r>
        <w:rPr>
          <w:sz w:val="22"/>
          <w:szCs w:val="20"/>
        </w:rPr>
        <w:t xml:space="preserve">rzejęcie </w:t>
      </w:r>
      <w:r>
        <w:rPr>
          <w:sz w:val="22"/>
          <w:szCs w:val="20"/>
        </w:rPr>
        <w:t>tej nieruchomości</w:t>
      </w:r>
      <w:r>
        <w:rPr>
          <w:sz w:val="22"/>
          <w:szCs w:val="20"/>
        </w:rPr>
        <w:t xml:space="preserve"> w drodze zamiany przez Miasto, z przeznaczeniem pod drogę wewnętrzną, uważa się za racjonalne rozwiązanie w zakresie układu drogowego dla całego kompleksu działek. </w:t>
      </w:r>
      <w:r>
        <w:rPr>
          <w:sz w:val="22"/>
          <w:szCs w:val="20"/>
        </w:rPr>
        <w:t>N</w:t>
      </w:r>
      <w:r>
        <w:rPr>
          <w:sz w:val="22"/>
          <w:szCs w:val="20"/>
        </w:rPr>
        <w:t>atomiast działka 447/3 należąca do Gminy Miasto Elbląg  mogłaby być racjonalnie zagospodarowana przez PSS Społem.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 w:val="22"/>
          <w:szCs w:val="20"/>
        </w:rPr>
      </w:pPr>
      <w:r>
        <w:rPr>
          <w:sz w:val="22"/>
          <w:szCs w:val="20"/>
        </w:rPr>
        <w:t>W związku z powyższym, wzajemne przeniesienie praw do nieruchomości jest uzasadnione.</w:t>
      </w:r>
    </w:p>
    <w:sectPr>
      <w:endnotePr>
        <w:numFmt w:val="decimal"/>
      </w:endnotePr>
      <w:type w:val="nextPage"/>
      <w:pgSz w:w="11906" w:h="16838" w:code="0"/>
      <w:pgMar w:top="850" w:right="850" w:bottom="1417" w:left="85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431/2020 z dnia 2 listopada 2020 r.</dc:title>
  <dc:subject>w sprawie wzajemnego przeniesienia praw do nieruchomości gruntowych położonych przy                       ul. Robotniczej w^Elblągu</dc:subject>
  <dc:creator>kazab</dc:creator>
  <cp:lastModifiedBy>kazab</cp:lastModifiedBy>
  <cp:revision>1</cp:revision>
  <dcterms:created xsi:type="dcterms:W3CDTF">2020-12-01T11:12:32Z</dcterms:created>
  <dcterms:modified xsi:type="dcterms:W3CDTF">2020-12-01T11:12:32Z</dcterms:modified>
  <cp:category>Akt prawny</cp:category>
</cp:coreProperties>
</file>