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2F8A5" w14:textId="34E631D7" w:rsidR="00A77B3E" w:rsidRDefault="00903239">
      <w:pPr>
        <w:jc w:val="center"/>
        <w:rPr>
          <w:b/>
          <w:caps/>
        </w:rPr>
      </w:pPr>
      <w:r>
        <w:rPr>
          <w:b/>
          <w:caps/>
        </w:rPr>
        <w:t>Zarządzenie Nr 337/2021</w:t>
      </w:r>
      <w:r>
        <w:rPr>
          <w:b/>
          <w:caps/>
        </w:rPr>
        <w:br/>
        <w:t>Prezydenta Miasta Elbląg</w:t>
      </w:r>
    </w:p>
    <w:p w14:paraId="1319A5A4" w14:textId="795C391A" w:rsidR="00A77B3E" w:rsidRDefault="00903239">
      <w:pPr>
        <w:spacing w:before="280" w:after="280"/>
        <w:jc w:val="center"/>
        <w:rPr>
          <w:b/>
          <w:caps/>
        </w:rPr>
      </w:pPr>
      <w:r>
        <w:t>z dnia 26 lipca</w:t>
      </w:r>
      <w:r>
        <w:t> 2021 r.</w:t>
      </w:r>
    </w:p>
    <w:p w14:paraId="59F433EE" w14:textId="77777777" w:rsidR="00A77B3E" w:rsidRDefault="00903239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14:paraId="087929E0" w14:textId="77777777" w:rsidR="00A77B3E" w:rsidRDefault="00903239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(t.j.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</w:t>
      </w:r>
      <w:r>
        <w:rPr>
          <w:color w:val="000000"/>
          <w:u w:color="000000"/>
        </w:rPr>
        <w:t>ląg oraz ich wydzierżawiania lub wynajmowania na czas oznaczony dłuższy niż trzy lata lub czas nieoznaczony, stanowiących załącznik do uchwały Nr XIV/265/2008 Rady Miejskiej w Elblągu z dnia 24 kwietnia 2008 r. w sprawie określenia zasad nabywania, zbywani</w:t>
      </w:r>
      <w:r>
        <w:rPr>
          <w:color w:val="000000"/>
          <w:u w:color="000000"/>
        </w:rPr>
        <w:t xml:space="preserve">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2B4825E2" w14:textId="77777777" w:rsidR="00A77B3E" w:rsidRDefault="0090323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09E208BA" w14:textId="77777777" w:rsidR="00A77B3E" w:rsidRDefault="009032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</w:t>
      </w:r>
      <w:r>
        <w:rPr>
          <w:color w:val="000000"/>
          <w:u w:color="000000"/>
        </w:rPr>
        <w:t>stanawia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14:paraId="3F756ED5" w14:textId="77777777" w:rsidR="00A77B3E" w:rsidRDefault="0090323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</w:t>
      </w:r>
      <w:r>
        <w:rPr>
          <w:color w:val="000000"/>
          <w:u w:color="000000"/>
        </w:rPr>
        <w:t>zegółowe warunki ustanowienia służebności zostaną określone w protokole z rokowań.</w:t>
      </w:r>
    </w:p>
    <w:p w14:paraId="1729C21D" w14:textId="77777777" w:rsidR="00A77B3E" w:rsidRDefault="009032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3808991E" w14:textId="77777777" w:rsidR="00A77B3E" w:rsidRDefault="009032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03239"/>
    <w:rsid w:val="00A77B3E"/>
    <w:rsid w:val="00CA2A55"/>
    <w:rsid w:val="00FB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6765A"/>
  <w15:docId w15:val="{A5CF552F-4F2E-488A-9384-7CBDCDD4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2021-07-27T08:57:00Z</dcterms:created>
  <dcterms:modified xsi:type="dcterms:W3CDTF">2021-07-27T08:57:00Z</dcterms:modified>
  <cp:category>Akt prawny</cp:category>
</cp:coreProperties>
</file>