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353/2021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sierpnia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 223/2021 Prezydenta Miasta Elbląg z dnia 11 czerwca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obniżenia ceny wywoławczej nieruchomości, dokonuje się sprostowania omyłki pisarskiej: w kol. 9 skreśla się Cena wywoławcza w szóstym przetargu, a w to miejsce nadaje się treść o brzmieniu Cena wywoławcza w trzecim przetargu.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2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353/2021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 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1441"/>
        <w:gridCol w:w="10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Browarna 67/2-2a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35267/6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356/1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0,0269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Lokal mieszkalny nr 2-2a o pow. 117,7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, do lokalu przynależą 2 piwnice i kotłownia o łącznej  pow. 31,8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.</w:t>
            </w:r>
          </w:p>
          <w:p>
            <w:pPr>
              <w:jc w:val="center"/>
            </w:pPr>
            <w:r>
              <w:rPr>
                <w:sz w:val="20"/>
              </w:rPr>
              <w:t>Z lokalem związany jest udział 0,0275 w częściach wspólnych i niepodzielnych oraz w prawie własności gruntu.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350.000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w tym: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348.146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1.854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36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353/2021 z dnia 2 sierpnia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2021-08-03T13:55:17Z</dcterms:created>
  <dcterms:modified xsi:type="dcterms:W3CDTF">2021-08-03T13:55:17Z</dcterms:modified>
  <cp:category>Akt prawny</cp:category>
</cp:coreProperties>
</file>