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E3783">
      <w:pPr>
        <w:jc w:val="center"/>
        <w:rPr>
          <w:b/>
          <w:caps/>
        </w:rPr>
      </w:pPr>
      <w:r>
        <w:rPr>
          <w:b/>
          <w:caps/>
        </w:rPr>
        <w:t>Zarządzenie Nr 462/2022</w:t>
      </w:r>
      <w:r>
        <w:rPr>
          <w:b/>
          <w:caps/>
        </w:rPr>
        <w:br/>
        <w:t>Prezydenta Miasta Elbląg</w:t>
      </w:r>
    </w:p>
    <w:p w:rsidR="00A77B3E" w:rsidRDefault="003E3783">
      <w:pPr>
        <w:spacing w:before="280" w:after="280"/>
        <w:jc w:val="center"/>
        <w:rPr>
          <w:b/>
          <w:caps/>
        </w:rPr>
      </w:pPr>
      <w:r>
        <w:t>z dnia 12 października 2022 r.</w:t>
      </w:r>
    </w:p>
    <w:p w:rsidR="00A77B3E" w:rsidRDefault="003E3783">
      <w:pPr>
        <w:keepNext/>
        <w:jc w:val="center"/>
      </w:pPr>
      <w:r>
        <w:rPr>
          <w:b/>
        </w:rPr>
        <w:t>w sprawie nabycia na rzecz Gminy Miasto Elbląg nieruchomości gruntowej położonej przy                 ul. Portowej w Elblągu</w:t>
      </w:r>
    </w:p>
    <w:p w:rsidR="00A77B3E" w:rsidRDefault="003E3783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26 ust. 1 ustawy z dnia 8 marca </w:t>
      </w:r>
      <w:r>
        <w:rPr>
          <w:sz w:val="24"/>
        </w:rPr>
        <w:t>1990 r. o 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 U. z 2022 r. poz. 559 ze zmianami), § 4 ust. 1 Zasad nabywania, zbywania i obciążania nieruchomości Gminy Miasto Elbląg oraz ich wydzierżawiania lub wynajmowania na czas oznaczony dłuższy niż trzy lata lub na czas ni</w:t>
      </w:r>
      <w:r>
        <w:rPr>
          <w:sz w:val="24"/>
        </w:rPr>
        <w:t>eoznaczony, stanowiących załącznik do uchwały Nr XIV/265/2008 Rady Miejskiej w Elblągu z dnia 24 kwietnia 2008 r. w sprawie określenia zasad nabywania, zbywania  i obciążania nieruchomości Gminy Miasto Elbląg oraz ich wydzierżawiania lub wynajmowania na cz</w:t>
      </w:r>
      <w:r>
        <w:rPr>
          <w:sz w:val="24"/>
        </w:rPr>
        <w:t>as oznaczony dłuższy niż trzy lata lub na czas nieoznaczony (Dz. Urz. Woj. Warmińsko-Mazurskiego z 2016 r., poz. 3794),</w:t>
      </w:r>
    </w:p>
    <w:p w:rsidR="00A77B3E" w:rsidRDefault="003E378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E37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Postanawia się nabyć na rzecz Gminy Miasto Elbląg, prawo użytkowania wieczystego nieruchomości grunt</w:t>
      </w:r>
      <w:r>
        <w:t xml:space="preserve">owych, położonych w Elblągu przy </w:t>
      </w:r>
      <w:r>
        <w:rPr>
          <w:b/>
          <w:color w:val="000000"/>
          <w:u w:color="000000"/>
        </w:rPr>
        <w:t>ul. Portowej</w:t>
      </w:r>
      <w:r>
        <w:rPr>
          <w:color w:val="000000"/>
          <w:u w:color="000000"/>
        </w:rPr>
        <w:t xml:space="preserve">, oznaczonych w ewidencji gruntów i budynków w obrębie 1,  jako działki  nr: </w:t>
      </w:r>
      <w:r>
        <w:rPr>
          <w:b/>
          <w:color w:val="000000"/>
          <w:u w:color="000000"/>
        </w:rPr>
        <w:t xml:space="preserve">187/3 </w:t>
      </w:r>
      <w:r>
        <w:rPr>
          <w:color w:val="000000"/>
          <w:u w:color="000000"/>
        </w:rPr>
        <w:t>o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 xml:space="preserve">pow. 0,0809 ha, dla której w Sądzie Rejonowym w Elblągu prowadzona jest księga wieczysta  EL1E/00032693/0 oraz </w:t>
      </w:r>
      <w:r>
        <w:rPr>
          <w:b/>
          <w:color w:val="000000"/>
          <w:u w:color="000000"/>
        </w:rPr>
        <w:t>185/12</w:t>
      </w:r>
      <w:r>
        <w:rPr>
          <w:color w:val="000000"/>
          <w:u w:color="000000"/>
        </w:rPr>
        <w:t xml:space="preserve"> o pow. </w:t>
      </w:r>
      <w:r>
        <w:rPr>
          <w:color w:val="000000"/>
          <w:u w:color="000000"/>
        </w:rPr>
        <w:t xml:space="preserve">0,0373 ha, dla której w Sądzie Rejonowym w Elblągu prowadzona jest księga wieczysta KW Nr EL1E/00068363/9.  </w:t>
      </w:r>
    </w:p>
    <w:p w:rsidR="00A77B3E" w:rsidRDefault="003E378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nabycia nieruchomości zostaną określone w protokole z rokowań.</w:t>
      </w:r>
    </w:p>
    <w:p w:rsidR="00A77B3E" w:rsidRDefault="003E378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nastąpi w drodze umowy w formie ak</w:t>
      </w:r>
      <w:r>
        <w:rPr>
          <w:color w:val="000000"/>
          <w:u w:color="000000"/>
        </w:rPr>
        <w:t>tu notarialnego.</w:t>
      </w:r>
    </w:p>
    <w:p w:rsidR="00A77B3E" w:rsidRDefault="003E3783" w:rsidP="003E3783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  <w:bookmarkStart w:id="0" w:name="_GoBack"/>
      <w:bookmarkEnd w:id="0"/>
    </w:p>
    <w:p w:rsidR="0069333F" w:rsidRDefault="0069333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69333F" w:rsidRDefault="003E3783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69333F" w:rsidRDefault="003E3783">
      <w:pPr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Na nieruchomości</w:t>
      </w:r>
      <w:r>
        <w:rPr>
          <w:color w:val="000000"/>
          <w:szCs w:val="20"/>
          <w:shd w:val="clear" w:color="auto" w:fill="FFFFFF"/>
        </w:rPr>
        <w:t>ach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położon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 Elblągu przy ul. </w:t>
      </w:r>
      <w:r>
        <w:rPr>
          <w:color w:val="000000"/>
          <w:szCs w:val="20"/>
          <w:shd w:val="clear" w:color="auto" w:fill="FFFFFF"/>
        </w:rPr>
        <w:t>Portowej</w:t>
      </w:r>
      <w:r>
        <w:rPr>
          <w:color w:val="000000"/>
          <w:szCs w:val="20"/>
          <w:shd w:val="clear" w:color="auto" w:fill="FFFFFF"/>
          <w:lang w:val="x-none" w:eastAsia="en-US" w:bidi="ar-SA"/>
        </w:rPr>
        <w:t>, oznaczon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 ewidencji gruntów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budynków, jako działk</w:t>
      </w:r>
      <w:r>
        <w:rPr>
          <w:color w:val="000000"/>
          <w:szCs w:val="20"/>
          <w:shd w:val="clear" w:color="auto" w:fill="FFFFFF"/>
        </w:rPr>
        <w:t>i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nr</w:t>
      </w:r>
      <w:r>
        <w:rPr>
          <w:color w:val="000000"/>
          <w:szCs w:val="20"/>
          <w:shd w:val="clear" w:color="auto" w:fill="FFFFFF"/>
        </w:rPr>
        <w:t xml:space="preserve"> 185/12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o pow. 0,0</w:t>
      </w:r>
      <w:r>
        <w:rPr>
          <w:color w:val="000000"/>
          <w:szCs w:val="20"/>
          <w:shd w:val="clear" w:color="auto" w:fill="FFFFFF"/>
        </w:rPr>
        <w:t>373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ha</w:t>
      </w:r>
      <w:r>
        <w:rPr>
          <w:color w:val="000000"/>
          <w:szCs w:val="20"/>
          <w:shd w:val="clear" w:color="auto" w:fill="FFFFFF"/>
        </w:rPr>
        <w:t xml:space="preserve"> i nr 187/3 o pow. 0,0809 ha,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stanowiąc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własność </w:t>
      </w:r>
      <w:r>
        <w:rPr>
          <w:color w:val="000000"/>
          <w:szCs w:val="20"/>
          <w:shd w:val="clear" w:color="auto" w:fill="FFFFFF"/>
        </w:rPr>
        <w:t>Skarbu Państwa, będących w użytkowaniu wieczystym VITERRA SILOS Spółka z o.o. z/s w Elblągu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, znajduje się </w:t>
      </w:r>
      <w:r>
        <w:rPr>
          <w:color w:val="000000"/>
          <w:szCs w:val="20"/>
          <w:shd w:val="clear" w:color="auto" w:fill="FFFFFF"/>
        </w:rPr>
        <w:t>napowietrzna sieć ciepłownicza magistralna Dn600. Celem uregulowania prawa Elbląskiego Przedsiębio</w:t>
      </w:r>
      <w:r>
        <w:rPr>
          <w:color w:val="000000"/>
          <w:szCs w:val="20"/>
          <w:shd w:val="clear" w:color="auto" w:fill="FFFFFF"/>
        </w:rPr>
        <w:t>rstwa Energetyki Cieplnej do korzystania z przedmiotowych nieruchomości oraz uregulowania stosunków właścicielskich, sporządzona została ugoda pozasądowa, na podstawie której Gmina Miasto Elbląg zobowiązała się wykupić prawo użytkowania wieczystego wyżej o</w:t>
      </w:r>
      <w:r>
        <w:rPr>
          <w:color w:val="000000"/>
          <w:szCs w:val="20"/>
          <w:shd w:val="clear" w:color="auto" w:fill="FFFFFF"/>
        </w:rPr>
        <w:t xml:space="preserve">pisanych działek, w zamian za przeniesienie na rzecz Spółki innej nieruchomości gruntowej. </w:t>
      </w:r>
    </w:p>
    <w:sectPr w:rsidR="0069333F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E3783"/>
    <w:rsid w:val="0069333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C20881-D8AD-4FF8-8CD1-FF8C891F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462/2022 z dnia 12 października 2022 r.</dc:title>
  <dc:subject>w sprawie nabycia na rzecz Gminy Miasto Elbląg nieruchomości gruntowej położonej przy                 ul. Portowej w^Elblągu</dc:subject>
  <dc:creator>maszn</dc:creator>
  <cp:lastModifiedBy>Mariola Sznajder</cp:lastModifiedBy>
  <cp:revision>2</cp:revision>
  <dcterms:created xsi:type="dcterms:W3CDTF">2022-10-12T14:02:00Z</dcterms:created>
  <dcterms:modified xsi:type="dcterms:W3CDTF">2022-10-12T12:03:00Z</dcterms:modified>
  <cp:category>Akt prawny</cp:category>
</cp:coreProperties>
</file>