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85621B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74468" w:rsidRPr="0085621B" w:rsidRDefault="00574468" w:rsidP="00574468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85621B">
        <w:rPr>
          <w:rFonts w:ascii="Tahoma" w:hAnsi="Tahoma" w:cs="Tahoma"/>
          <w:bCs/>
          <w:sz w:val="22"/>
          <w:szCs w:val="22"/>
        </w:rPr>
        <w:t>DKiM.1711.</w:t>
      </w:r>
      <w:r w:rsidR="0085621B">
        <w:rPr>
          <w:rFonts w:ascii="Tahoma" w:hAnsi="Tahoma" w:cs="Tahoma"/>
          <w:bCs/>
          <w:sz w:val="22"/>
          <w:szCs w:val="22"/>
        </w:rPr>
        <w:t>10</w:t>
      </w:r>
      <w:r w:rsidRPr="0085621B">
        <w:rPr>
          <w:rFonts w:ascii="Tahoma" w:hAnsi="Tahoma" w:cs="Tahoma"/>
          <w:bCs/>
          <w:sz w:val="22"/>
          <w:szCs w:val="22"/>
        </w:rPr>
        <w:t>.201</w:t>
      </w:r>
      <w:r w:rsidR="00CA69C7" w:rsidRPr="0085621B">
        <w:rPr>
          <w:rFonts w:ascii="Tahoma" w:hAnsi="Tahoma" w:cs="Tahoma"/>
          <w:bCs/>
          <w:sz w:val="22"/>
          <w:szCs w:val="22"/>
        </w:rPr>
        <w:t>5</w:t>
      </w:r>
      <w:r w:rsidRPr="0085621B">
        <w:rPr>
          <w:rFonts w:ascii="Tahoma" w:hAnsi="Tahoma" w:cs="Tahoma"/>
          <w:bCs/>
          <w:sz w:val="22"/>
          <w:szCs w:val="22"/>
        </w:rPr>
        <w:t>.</w:t>
      </w:r>
      <w:r w:rsidR="0085621B">
        <w:rPr>
          <w:rFonts w:ascii="Tahoma" w:hAnsi="Tahoma" w:cs="Tahoma"/>
          <w:bCs/>
          <w:sz w:val="22"/>
          <w:szCs w:val="22"/>
        </w:rPr>
        <w:t>AK2</w:t>
      </w:r>
    </w:p>
    <w:p w:rsidR="00574468" w:rsidRPr="0085621B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="00574468" w:rsidRPr="0085621B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85621B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="0085621B">
        <w:rPr>
          <w:rFonts w:ascii="Tahoma" w:hAnsi="Tahoma" w:cs="Tahoma"/>
          <w:b/>
          <w:bCs/>
          <w:sz w:val="22"/>
          <w:szCs w:val="22"/>
        </w:rPr>
        <w:t>Hanna Kusowska</w:t>
      </w:r>
    </w:p>
    <w:p w:rsidR="00574468" w:rsidRPr="0085621B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ab/>
      </w:r>
      <w:r w:rsidR="001026CB"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>Dyrektor</w:t>
      </w:r>
    </w:p>
    <w:p w:rsidR="00574468" w:rsidRPr="0085621B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 xml:space="preserve">                                   </w:t>
      </w:r>
      <w:r w:rsidR="005F06CB" w:rsidRPr="0085621B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1026CB" w:rsidRPr="0085621B">
        <w:rPr>
          <w:rFonts w:ascii="Tahoma" w:hAnsi="Tahoma" w:cs="Tahoma"/>
          <w:b/>
          <w:bCs/>
          <w:sz w:val="22"/>
          <w:szCs w:val="22"/>
        </w:rPr>
        <w:tab/>
      </w:r>
      <w:r w:rsidR="005F06CB" w:rsidRPr="0085621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026CB" w:rsidRPr="0085621B">
        <w:rPr>
          <w:rFonts w:ascii="Tahoma" w:hAnsi="Tahoma" w:cs="Tahoma"/>
          <w:b/>
          <w:bCs/>
          <w:sz w:val="22"/>
          <w:szCs w:val="22"/>
        </w:rPr>
        <w:tab/>
      </w:r>
      <w:r w:rsidR="0085621B">
        <w:rPr>
          <w:rFonts w:ascii="Tahoma" w:hAnsi="Tahoma" w:cs="Tahoma"/>
          <w:b/>
          <w:bCs/>
          <w:sz w:val="22"/>
          <w:szCs w:val="22"/>
        </w:rPr>
        <w:t>Przedszkola Nr 13</w:t>
      </w:r>
    </w:p>
    <w:p w:rsidR="00574468" w:rsidRPr="0085621B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85621B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85621B">
        <w:rPr>
          <w:rFonts w:ascii="Tahoma" w:hAnsi="Tahoma" w:cs="Tahoma"/>
          <w:b/>
          <w:bCs/>
          <w:sz w:val="22"/>
          <w:szCs w:val="22"/>
        </w:rPr>
        <w:tab/>
      </w:r>
      <w:r w:rsidR="001026CB" w:rsidRPr="0085621B">
        <w:rPr>
          <w:rFonts w:ascii="Tahoma" w:hAnsi="Tahoma" w:cs="Tahoma"/>
          <w:b/>
          <w:bCs/>
          <w:sz w:val="22"/>
          <w:szCs w:val="22"/>
        </w:rPr>
        <w:tab/>
      </w:r>
      <w:r w:rsidRPr="0085621B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85621B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 xml:space="preserve"> </w:t>
      </w:r>
    </w:p>
    <w:p w:rsidR="005F06CB" w:rsidRPr="0085621B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85621B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ab/>
      </w:r>
      <w:r w:rsidR="00574468" w:rsidRPr="0085621B">
        <w:rPr>
          <w:rFonts w:ascii="Tahoma" w:hAnsi="Tahoma" w:cs="Tahoma"/>
          <w:sz w:val="22"/>
          <w:szCs w:val="22"/>
        </w:rPr>
        <w:t xml:space="preserve">W dniach od </w:t>
      </w:r>
      <w:r w:rsidR="00520079">
        <w:rPr>
          <w:rFonts w:ascii="Tahoma" w:hAnsi="Tahoma" w:cs="Tahoma"/>
          <w:sz w:val="22"/>
          <w:szCs w:val="22"/>
        </w:rPr>
        <w:t>16</w:t>
      </w:r>
      <w:r w:rsidR="00C83AC6" w:rsidRPr="0085621B">
        <w:rPr>
          <w:rFonts w:ascii="Tahoma" w:hAnsi="Tahoma" w:cs="Tahoma"/>
          <w:sz w:val="22"/>
          <w:szCs w:val="22"/>
        </w:rPr>
        <w:t>.0</w:t>
      </w:r>
      <w:r w:rsidR="00520079">
        <w:rPr>
          <w:rFonts w:ascii="Tahoma" w:hAnsi="Tahoma" w:cs="Tahoma"/>
          <w:sz w:val="22"/>
          <w:szCs w:val="22"/>
        </w:rPr>
        <w:t>3</w:t>
      </w:r>
      <w:r w:rsidR="00574468" w:rsidRPr="0085621B">
        <w:rPr>
          <w:rFonts w:ascii="Tahoma" w:hAnsi="Tahoma" w:cs="Tahoma"/>
          <w:sz w:val="22"/>
          <w:szCs w:val="22"/>
        </w:rPr>
        <w:t>.201</w:t>
      </w:r>
      <w:r w:rsidR="00C83AC6" w:rsidRPr="0085621B">
        <w:rPr>
          <w:rFonts w:ascii="Tahoma" w:hAnsi="Tahoma" w:cs="Tahoma"/>
          <w:sz w:val="22"/>
          <w:szCs w:val="22"/>
        </w:rPr>
        <w:t>5</w:t>
      </w:r>
      <w:r w:rsidR="00574468" w:rsidRPr="0085621B">
        <w:rPr>
          <w:rFonts w:ascii="Tahoma" w:hAnsi="Tahoma" w:cs="Tahoma"/>
          <w:sz w:val="22"/>
          <w:szCs w:val="22"/>
        </w:rPr>
        <w:t xml:space="preserve"> r.</w:t>
      </w:r>
      <w:r w:rsidR="00520079">
        <w:rPr>
          <w:rFonts w:ascii="Tahoma" w:hAnsi="Tahoma" w:cs="Tahoma"/>
          <w:sz w:val="22"/>
          <w:szCs w:val="22"/>
        </w:rPr>
        <w:t xml:space="preserve"> do 10.04.</w:t>
      </w:r>
      <w:r w:rsidR="00574468" w:rsidRPr="0085621B">
        <w:rPr>
          <w:rFonts w:ascii="Tahoma" w:hAnsi="Tahoma" w:cs="Tahoma"/>
          <w:sz w:val="22"/>
          <w:szCs w:val="22"/>
        </w:rPr>
        <w:t>201</w:t>
      </w:r>
      <w:r w:rsidR="00C83AC6" w:rsidRPr="0085621B">
        <w:rPr>
          <w:rFonts w:ascii="Tahoma" w:hAnsi="Tahoma" w:cs="Tahoma"/>
          <w:sz w:val="22"/>
          <w:szCs w:val="22"/>
        </w:rPr>
        <w:t>5</w:t>
      </w:r>
      <w:r w:rsidR="00574468" w:rsidRPr="0085621B">
        <w:rPr>
          <w:rFonts w:ascii="Tahoma" w:hAnsi="Tahoma" w:cs="Tahoma"/>
          <w:sz w:val="22"/>
          <w:szCs w:val="22"/>
        </w:rPr>
        <w:t xml:space="preserve"> r. </w:t>
      </w:r>
      <w:r w:rsidR="00574468" w:rsidRPr="0085621B">
        <w:rPr>
          <w:rFonts w:ascii="Tahoma" w:eastAsia="Times New Roman" w:hAnsi="Tahoma" w:cs="Tahoma"/>
          <w:color w:val="000000"/>
          <w:sz w:val="22"/>
          <w:szCs w:val="22"/>
        </w:rPr>
        <w:t>inspektorzy Urzędu Miejskiego w Elblągu przeprowadzili kontrolę w zakresie spraw organizacyjno-prawnych na bieżąco, kadrowo-płacowych za rok 201</w:t>
      </w:r>
      <w:r w:rsidR="00B51013" w:rsidRPr="0085621B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85621B">
        <w:rPr>
          <w:rFonts w:ascii="Tahoma" w:eastAsia="Times New Roman" w:hAnsi="Tahoma" w:cs="Tahoma"/>
          <w:color w:val="000000"/>
          <w:sz w:val="22"/>
          <w:szCs w:val="22"/>
        </w:rPr>
        <w:t xml:space="preserve"> i na bieżąco</w:t>
      </w:r>
      <w:r w:rsidR="00763D5C">
        <w:rPr>
          <w:rFonts w:ascii="Tahoma" w:eastAsia="Times New Roman" w:hAnsi="Tahoma" w:cs="Tahoma"/>
          <w:color w:val="000000"/>
          <w:sz w:val="22"/>
          <w:szCs w:val="22"/>
        </w:rPr>
        <w:t xml:space="preserve"> oraz </w:t>
      </w:r>
      <w:r w:rsidR="00574468" w:rsidRPr="0085621B">
        <w:rPr>
          <w:rFonts w:ascii="Tahoma" w:eastAsia="Times New Roman" w:hAnsi="Tahoma" w:cs="Tahoma"/>
          <w:color w:val="000000"/>
          <w:sz w:val="22"/>
          <w:szCs w:val="22"/>
        </w:rPr>
        <w:t>gospodarki finansowej za 201</w:t>
      </w:r>
      <w:r w:rsidR="00B51013" w:rsidRPr="0085621B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85621B">
        <w:rPr>
          <w:rFonts w:ascii="Tahoma" w:eastAsia="Times New Roman" w:hAnsi="Tahoma" w:cs="Tahoma"/>
          <w:color w:val="000000"/>
          <w:sz w:val="22"/>
          <w:szCs w:val="22"/>
        </w:rPr>
        <w:t xml:space="preserve"> rok</w:t>
      </w:r>
      <w:r w:rsidR="00B51013" w:rsidRPr="0085621B">
        <w:rPr>
          <w:rFonts w:ascii="Tahoma" w:eastAsia="Times New Roman" w:hAnsi="Tahoma" w:cs="Tahoma"/>
          <w:color w:val="000000"/>
          <w:sz w:val="22"/>
          <w:szCs w:val="22"/>
        </w:rPr>
        <w:t>.</w:t>
      </w:r>
    </w:p>
    <w:p w:rsidR="00574468" w:rsidRPr="0085621B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85621B">
        <w:rPr>
          <w:rFonts w:ascii="Tahoma" w:hAnsi="Tahoma" w:cs="Tahoma"/>
          <w:sz w:val="22"/>
          <w:szCs w:val="22"/>
        </w:rPr>
        <w:t xml:space="preserve"> w dniu</w:t>
      </w:r>
      <w:r w:rsidR="00B51013" w:rsidRPr="0085621B">
        <w:rPr>
          <w:rFonts w:ascii="Tahoma" w:hAnsi="Tahoma" w:cs="Tahoma"/>
          <w:sz w:val="22"/>
          <w:szCs w:val="22"/>
        </w:rPr>
        <w:t xml:space="preserve">   </w:t>
      </w:r>
      <w:r w:rsidR="00DE41FE" w:rsidRPr="0085621B">
        <w:rPr>
          <w:rFonts w:ascii="Tahoma" w:hAnsi="Tahoma" w:cs="Tahoma"/>
          <w:sz w:val="22"/>
          <w:szCs w:val="22"/>
        </w:rPr>
        <w:t xml:space="preserve"> </w:t>
      </w:r>
      <w:r w:rsidR="00B51013" w:rsidRPr="0085621B">
        <w:rPr>
          <w:rFonts w:ascii="Tahoma" w:hAnsi="Tahoma" w:cs="Tahoma"/>
          <w:sz w:val="22"/>
          <w:szCs w:val="22"/>
        </w:rPr>
        <w:t>5 ma</w:t>
      </w:r>
      <w:r w:rsidR="00667692">
        <w:rPr>
          <w:rFonts w:ascii="Tahoma" w:hAnsi="Tahoma" w:cs="Tahoma"/>
          <w:sz w:val="22"/>
          <w:szCs w:val="22"/>
        </w:rPr>
        <w:t>ja</w:t>
      </w:r>
      <w:r w:rsidRPr="0085621B">
        <w:rPr>
          <w:rFonts w:ascii="Tahoma" w:hAnsi="Tahoma" w:cs="Tahoma"/>
          <w:sz w:val="22"/>
          <w:szCs w:val="22"/>
        </w:rPr>
        <w:t xml:space="preserve"> 201</w:t>
      </w:r>
      <w:r w:rsidR="00676364" w:rsidRPr="0085621B">
        <w:rPr>
          <w:rFonts w:ascii="Tahoma" w:hAnsi="Tahoma" w:cs="Tahoma"/>
          <w:sz w:val="22"/>
          <w:szCs w:val="22"/>
        </w:rPr>
        <w:t>5</w:t>
      </w:r>
      <w:r w:rsidRPr="0085621B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85621B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85621B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85621B" w:rsidRPr="0085621B" w:rsidRDefault="00B957A9" w:rsidP="0085621B">
      <w:pPr>
        <w:tabs>
          <w:tab w:val="left" w:pos="0"/>
          <w:tab w:val="left" w:pos="142"/>
        </w:tabs>
        <w:spacing w:before="22"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pacing w:val="-4"/>
          <w:sz w:val="22"/>
          <w:szCs w:val="22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  <w:r w:rsidR="006E4707"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  <w:r w:rsidR="0085621B" w:rsidRPr="0085621B">
        <w:rPr>
          <w:rFonts w:ascii="Tahoma" w:eastAsia="Times New Roman" w:hAnsi="Tahoma" w:cs="Tahoma"/>
          <w:color w:val="000000" w:themeColor="text1"/>
          <w:spacing w:val="-4"/>
          <w:sz w:val="22"/>
          <w:szCs w:val="22"/>
        </w:rPr>
        <w:t xml:space="preserve">Stwierdza się, iż jednostka prowadzi zadania zgodnie ze statutem oraz posiada opracowane regulaminy i procedury wewnętrzne określające prowadzoną działalność. Wdrożony system kontroli zarządczej spełnia wymogi określone w przepisach prawa oraz zapewnia realizację zadań i celów działania wyznaczonych w statucie i planie pracy </w:t>
      </w:r>
      <w:r w:rsidR="006A2FDE">
        <w:rPr>
          <w:rFonts w:ascii="Tahoma" w:eastAsia="Times New Roman" w:hAnsi="Tahoma" w:cs="Tahoma"/>
          <w:color w:val="000000" w:themeColor="text1"/>
          <w:spacing w:val="-4"/>
          <w:sz w:val="22"/>
          <w:szCs w:val="22"/>
        </w:rPr>
        <w:t>Przedszkola Nr 13</w:t>
      </w:r>
      <w:r w:rsidR="0085621B" w:rsidRPr="0085621B">
        <w:rPr>
          <w:rFonts w:ascii="Tahoma" w:eastAsia="Times New Roman" w:hAnsi="Tahoma" w:cs="Tahoma"/>
          <w:color w:val="000000" w:themeColor="text1"/>
          <w:spacing w:val="-4"/>
          <w:sz w:val="22"/>
          <w:szCs w:val="22"/>
        </w:rPr>
        <w:t xml:space="preserve">. </w:t>
      </w:r>
    </w:p>
    <w:p w:rsidR="006A2FDE" w:rsidRDefault="006A2FDE" w:rsidP="00B11C71">
      <w:pPr>
        <w:widowControl/>
        <w:tabs>
          <w:tab w:val="left" w:pos="0"/>
          <w:tab w:val="left" w:pos="142"/>
        </w:tabs>
        <w:suppressAutoHyphens w:val="0"/>
        <w:spacing w:before="22" w:after="120" w:line="360" w:lineRule="auto"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  <w:r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  <w:r w:rsidR="0085621B" w:rsidRPr="0085621B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W </w:t>
      </w:r>
      <w:r>
        <w:rPr>
          <w:rFonts w:ascii="Tahoma" w:eastAsia="Times New Roman" w:hAnsi="Tahoma" w:cs="Tahoma"/>
          <w:color w:val="000000" w:themeColor="text1"/>
          <w:sz w:val="22"/>
          <w:szCs w:val="22"/>
        </w:rPr>
        <w:t>kontrolowanej jednostce</w:t>
      </w:r>
      <w:r w:rsidR="0085621B" w:rsidRPr="0085621B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szczególną uwagę zwrócono na zarządzanie środkami pieniężnymi, gospodarowanie mieniem, celowość, zasadność dokonywania wydatków, sprawozdawczość budżetową i finansową, rozliczenia z budżetem gminy oraz stosowanie przepisów Prawa zamówień publicznych. Dokumenty księgowe są zatwierdzone pod względem merytorycznym, formalnym i rachunkowym. Kontrola wykazała poprawność dowodów księgowych względem wymagań określonych art. 21 ust. 1 pkt 1-6  ustawy </w:t>
      </w:r>
      <w:r w:rsidR="0085621B" w:rsidRPr="0085621B">
        <w:rPr>
          <w:rFonts w:ascii="Tahoma" w:eastAsia="Times New Roman" w:hAnsi="Tahoma" w:cs="Tahoma"/>
          <w:color w:val="000000" w:themeColor="text1"/>
          <w:sz w:val="22"/>
          <w:szCs w:val="22"/>
        </w:rPr>
        <w:br/>
        <w:t xml:space="preserve">o rachunkowości, a także zgodności kwot ujętych w księgach rachunkowych </w:t>
      </w:r>
      <w:r w:rsidR="0085621B" w:rsidRPr="0085621B">
        <w:rPr>
          <w:rFonts w:ascii="Tahoma" w:eastAsia="Times New Roman" w:hAnsi="Tahoma" w:cs="Tahoma"/>
          <w:color w:val="000000" w:themeColor="text1"/>
          <w:sz w:val="22"/>
          <w:szCs w:val="22"/>
        </w:rPr>
        <w:br/>
        <w:t>i sprawozdawczości.</w:t>
      </w:r>
    </w:p>
    <w:p w:rsidR="00B11C71" w:rsidRPr="00675C5C" w:rsidRDefault="00B11C71" w:rsidP="00B11C71">
      <w:pPr>
        <w:widowControl/>
        <w:tabs>
          <w:tab w:val="left" w:pos="0"/>
          <w:tab w:val="left" w:pos="142"/>
        </w:tabs>
        <w:suppressAutoHyphens w:val="0"/>
        <w:spacing w:before="22" w:after="120" w:line="360" w:lineRule="auto"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>
        <w:rPr>
          <w:rFonts w:ascii="Tahoma" w:eastAsia="Times New Roman" w:hAnsi="Tahoma" w:cs="Tahoma"/>
          <w:spacing w:val="-4"/>
          <w:sz w:val="22"/>
          <w:szCs w:val="22"/>
        </w:rPr>
        <w:t>Jednakże  w roku 2014 obszary działania szkoły i ryzyka z nimi związane nie były wystarczająco monitorowane, ponieważ stwierdzono nieprawidłowości w zakresie spraw kadrowo-płacowych.</w:t>
      </w:r>
    </w:p>
    <w:p w:rsidR="0085621B" w:rsidRDefault="0085621B" w:rsidP="0085621B">
      <w:pPr>
        <w:tabs>
          <w:tab w:val="left" w:pos="0"/>
          <w:tab w:val="left" w:pos="142"/>
        </w:tabs>
        <w:spacing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6A2FDE" w:rsidRPr="0085621B" w:rsidRDefault="006A2FDE" w:rsidP="0085621B">
      <w:pPr>
        <w:tabs>
          <w:tab w:val="left" w:pos="0"/>
          <w:tab w:val="left" w:pos="142"/>
        </w:tabs>
        <w:spacing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85621B" w:rsidRPr="0085621B" w:rsidRDefault="0085621B" w:rsidP="0085621B">
      <w:pPr>
        <w:widowControl/>
        <w:numPr>
          <w:ilvl w:val="6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22" w:line="360" w:lineRule="auto"/>
        <w:ind w:left="284" w:hanging="284"/>
        <w:contextualSpacing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85621B">
        <w:rPr>
          <w:rFonts w:ascii="Tahoma" w:eastAsia="Times New Roman" w:hAnsi="Tahoma" w:cs="Tahoma"/>
          <w:sz w:val="22"/>
          <w:szCs w:val="22"/>
          <w:lang w:eastAsia="en-US"/>
        </w:rPr>
        <w:lastRenderedPageBreak/>
        <w:t xml:space="preserve">Wysokość wynagrodzenia za godziny doraźnych zastępstw, dla jednego nauczyciela została wyliczona niezgodnie z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§ 6 ust. 1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 Uchwały Nr XX/421/2009 Rady Miejskiej </w:t>
      </w:r>
      <w:r w:rsidR="006A2FDE">
        <w:rPr>
          <w:rFonts w:ascii="Tahoma" w:eastAsia="Times New Roman" w:hAnsi="Tahoma" w:cs="Tahoma"/>
          <w:sz w:val="22"/>
          <w:szCs w:val="22"/>
          <w:lang w:eastAsia="en-US"/>
        </w:rPr>
        <w:t xml:space="preserve">         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w Elblągu z dnia 19 marca 2009 r. w sprawie regulaminu wynagradzania nauczycieli zatrudnionych w szkołach prowadzonych przez Miasto Elbląg ze zmianami. Przyjęto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>tygodniowy obowiązkowy wymiar godzin nauczyciela w wysokości 25 godzin, pomimo tego, iż nauczyciel realizował doraźne zastępstwa w wymiarze 22 godziny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, co spowodowało zaniżenie wynagrodzenia za godziny doraźnych zastępstw o kwotę 25,42 zł. Powyższa kwota została wyrównana dla nauczyciela w trakcie czynności kontrolnych </w:t>
      </w:r>
      <w:r w:rsidR="0056331F">
        <w:rPr>
          <w:rFonts w:ascii="Tahoma" w:eastAsia="Times New Roman" w:hAnsi="Tahoma" w:cs="Tahoma"/>
          <w:sz w:val="22"/>
          <w:szCs w:val="22"/>
          <w:lang w:eastAsia="en-US"/>
        </w:rPr>
        <w:t>(str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. </w:t>
      </w:r>
      <w:r w:rsidR="0056331F">
        <w:rPr>
          <w:rFonts w:ascii="Tahoma" w:eastAsia="Times New Roman" w:hAnsi="Tahoma" w:cs="Tahoma"/>
          <w:sz w:val="22"/>
          <w:szCs w:val="22"/>
          <w:lang w:eastAsia="en-US"/>
        </w:rPr>
        <w:t>18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 protokołu).</w:t>
      </w:r>
    </w:p>
    <w:p w:rsidR="0085621B" w:rsidRPr="0085621B" w:rsidRDefault="0085621B" w:rsidP="0085621B">
      <w:pPr>
        <w:widowControl/>
        <w:numPr>
          <w:ilvl w:val="6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85621B">
        <w:rPr>
          <w:rFonts w:ascii="Tahoma" w:eastAsia="Calibri" w:hAnsi="Tahoma" w:cs="Tahoma"/>
          <w:sz w:val="22"/>
          <w:szCs w:val="22"/>
          <w:lang w:eastAsia="en-US"/>
        </w:rPr>
        <w:t>D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zień nabycia prawa do nagrody jubileuszowej dla dwóch nauczycieli, został ustalony niezgodnie z § 2 ust. 1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rozporządzenia Ministra Edukacji Narodowej i Sportu z dnia </w:t>
      </w:r>
      <w:r w:rsidR="006A2FDE">
        <w:rPr>
          <w:rFonts w:ascii="Tahoma" w:eastAsia="Calibri" w:hAnsi="Tahoma" w:cs="Tahoma"/>
          <w:sz w:val="22"/>
          <w:szCs w:val="22"/>
          <w:lang w:eastAsia="en-US"/>
        </w:rPr>
        <w:t xml:space="preserve">         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30 października 2001 r. w sprawie szczegółowych zasad ustalania okresów pracy i innych okresów uprawniających nauczyciela do nagrody jubileuszowej oraz szczegółowych zasad jej obliczania i wypłacania (Dz. U. Nr 128, poz. 1418) w związku z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art. 174 § 2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ustawy </w:t>
      </w:r>
      <w:r w:rsidR="006A2FDE">
        <w:rPr>
          <w:rFonts w:ascii="Tahoma" w:eastAsia="Calibri" w:hAnsi="Tahoma" w:cs="Tahoma"/>
          <w:sz w:val="22"/>
          <w:szCs w:val="22"/>
          <w:lang w:eastAsia="en-US"/>
        </w:rPr>
        <w:t xml:space="preserve">     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z dnia 26 czerwca 1974 r. Kodeks Pracy (tekst jednolity z 1998 r. Dz. U. Nr 21, poz. 94 ze zm., obecnie Dz.U.2014.1502 j.t. ze zm.).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Ustalając dzień nabycia prawa do nagrody nie </w:t>
      </w:r>
      <w:r w:rsidRPr="0085621B">
        <w:rPr>
          <w:rFonts w:ascii="Tahoma" w:eastAsia="Times New Roman" w:hAnsi="Tahoma" w:cs="Tahoma"/>
          <w:color w:val="000000" w:themeColor="text1"/>
          <w:sz w:val="22"/>
          <w:szCs w:val="22"/>
          <w:lang w:eastAsia="en-US"/>
        </w:rPr>
        <w:t>uwzględniono urlopów bezpłatnych, których nie wlicza się do okresu pracy, od którego zależą uprawnienia pracownicze.</w:t>
      </w:r>
      <w:r w:rsidRPr="0085621B">
        <w:rPr>
          <w:rFonts w:ascii="Tahoma" w:eastAsia="Calibri" w:hAnsi="Tahoma" w:cs="Tahoma"/>
          <w:color w:val="000000" w:themeColor="text1"/>
          <w:sz w:val="22"/>
          <w:szCs w:val="22"/>
          <w:lang w:eastAsia="en-US"/>
        </w:rPr>
        <w:t xml:space="preserve"> </w:t>
      </w:r>
      <w:r w:rsidRPr="0085621B">
        <w:rPr>
          <w:rFonts w:ascii="Tahoma" w:eastAsia="Times New Roman" w:hAnsi="Tahoma" w:cs="Tahoma"/>
          <w:color w:val="000000" w:themeColor="text1"/>
          <w:sz w:val="22"/>
          <w:szCs w:val="22"/>
          <w:lang w:eastAsia="en-US"/>
        </w:rPr>
        <w:t xml:space="preserve">W jednym przypadku błędne ustalenie dnia nabycia prawa do nagrody jubileuszowej  spowodowało zaniżenie wypłaconej nagrody o kwotę 682,40 zł. Nagrodę należało wyliczyć na koniec miesiąca września 2014 r., </w:t>
      </w:r>
      <w:r w:rsidR="006A2FDE">
        <w:rPr>
          <w:rFonts w:ascii="Tahoma" w:eastAsia="Times New Roman" w:hAnsi="Tahoma" w:cs="Tahoma"/>
          <w:color w:val="000000" w:themeColor="text1"/>
          <w:sz w:val="22"/>
          <w:szCs w:val="22"/>
          <w:lang w:eastAsia="en-US"/>
        </w:rPr>
        <w:t xml:space="preserve">                      </w:t>
      </w:r>
      <w:r w:rsidRPr="0085621B">
        <w:rPr>
          <w:rFonts w:ascii="Tahoma" w:eastAsia="Times New Roman" w:hAnsi="Tahoma" w:cs="Tahoma"/>
          <w:color w:val="000000" w:themeColor="text1"/>
          <w:sz w:val="22"/>
          <w:szCs w:val="22"/>
          <w:lang w:eastAsia="en-US"/>
        </w:rPr>
        <w:t xml:space="preserve">z uwzględnieniem godzin ponadwymiarowych i doraźnych zastępstw zrealizowanych przez nauczyciela w tym miesiącu. Powyższe wynika z art. 39 ust. 4 ustawy z dnia 26 stycznia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>1982 r. Karta Nauczyciela (tekst jednolity Dz. U. z 2006 r. Nr 97, poz. 674 ze zm., obecnie Dz.U.2014.191 j.t. ze zm.) i stanowiska Ministerstwa Edukacji Narodowej w sprawie terminu wypłaty nagrody jubileuszowej dla nauczycieli, którzy nabyli do niej prawo w miesiącu wrześniu.</w:t>
      </w:r>
      <w:r w:rsidRPr="0085621B">
        <w:rPr>
          <w:rFonts w:ascii="Tahoma" w:eastAsia="Calibri" w:hAnsi="Tahoma" w:cs="Tahoma"/>
          <w:sz w:val="22"/>
          <w:szCs w:val="22"/>
        </w:rPr>
        <w:t xml:space="preserve"> Powyższa kwota została wyrównana dla nauczyciela w trakcie czynności kontrolnych (str.</w:t>
      </w:r>
      <w:r w:rsidR="00E01B5C">
        <w:rPr>
          <w:rFonts w:ascii="Tahoma" w:eastAsia="Calibri" w:hAnsi="Tahoma" w:cs="Tahoma"/>
          <w:sz w:val="22"/>
          <w:szCs w:val="22"/>
        </w:rPr>
        <w:t xml:space="preserve"> 20</w:t>
      </w:r>
      <w:r w:rsidRPr="0085621B">
        <w:rPr>
          <w:rFonts w:ascii="Tahoma" w:eastAsia="Calibri" w:hAnsi="Tahoma" w:cs="Tahoma"/>
          <w:sz w:val="22"/>
          <w:szCs w:val="22"/>
        </w:rPr>
        <w:t xml:space="preserve"> protokołu). </w:t>
      </w:r>
    </w:p>
    <w:p w:rsidR="0085621B" w:rsidRPr="0085621B" w:rsidRDefault="0085621B" w:rsidP="0085621B">
      <w:pPr>
        <w:widowControl/>
        <w:numPr>
          <w:ilvl w:val="6"/>
          <w:numId w:val="14"/>
        </w:numPr>
        <w:suppressAutoHyphens w:val="0"/>
        <w:spacing w:before="22" w:line="360" w:lineRule="auto"/>
        <w:ind w:left="284" w:hanging="284"/>
        <w:contextualSpacing/>
        <w:jc w:val="both"/>
        <w:rPr>
          <w:rFonts w:ascii="Tahoma" w:eastAsia="Times New Roman" w:hAnsi="Tahoma" w:cs="Tahoma"/>
          <w:sz w:val="22"/>
          <w:szCs w:val="22"/>
          <w:lang w:eastAsia="en-US"/>
        </w:rPr>
      </w:pP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Przy wyliczaniu dodatkowego wynagrodzenia rocznego za 2013 r. stwierdzono 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br/>
        <w:t xml:space="preserve">nieprawidłowości: </w:t>
      </w:r>
    </w:p>
    <w:p w:rsidR="0085621B" w:rsidRPr="0085621B" w:rsidRDefault="0085621B" w:rsidP="0085621B">
      <w:pPr>
        <w:widowControl/>
        <w:numPr>
          <w:ilvl w:val="0"/>
          <w:numId w:val="15"/>
        </w:numPr>
        <w:tabs>
          <w:tab w:val="left" w:pos="426"/>
        </w:tabs>
        <w:suppressAutoHyphens w:val="0"/>
        <w:spacing w:before="22" w:line="360" w:lineRule="auto"/>
        <w:ind w:left="567" w:hanging="283"/>
        <w:contextualSpacing/>
        <w:jc w:val="both"/>
        <w:rPr>
          <w:rFonts w:ascii="Tahoma" w:eastAsia="Calibri" w:hAnsi="Tahoma" w:cs="Tahoma"/>
          <w:sz w:val="22"/>
          <w:szCs w:val="22"/>
        </w:rPr>
      </w:pP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dla jednego pracownika administracji -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>kwotę wynagrodzenia za dzień urlopu okolicznościowego przysługującego na podstawie rozporządzenia Ministra Pracy</w:t>
      </w:r>
      <w:r w:rsidR="006A2FDE">
        <w:rPr>
          <w:rFonts w:ascii="Tahoma" w:eastAsia="Calibri" w:hAnsi="Tahoma" w:cs="Tahoma"/>
          <w:sz w:val="22"/>
          <w:szCs w:val="22"/>
          <w:lang w:eastAsia="en-US"/>
        </w:rPr>
        <w:t xml:space="preserve">         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 i Polityki Socjalnej z dnia 15 maja 1996 r. w sprawie sposobu usprawiedliwiania nieobecności w pracy oraz udzielania pracownikom zwolnień od pracy (Dz.U.2014.1632 j.t.) wyliczono 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>niezgodnie z § 9 ust. 1</w:t>
      </w:r>
      <w:r w:rsidRPr="0085621B">
        <w:rPr>
          <w:rFonts w:ascii="Tahoma" w:eastAsia="Times New Roman" w:hAnsi="Tahoma" w:cs="Tahoma"/>
          <w:sz w:val="22"/>
          <w:szCs w:val="22"/>
        </w:rPr>
        <w:t xml:space="preserve">rozporządzenia Ministra Pracy i Polityki Socjalnej </w:t>
      </w:r>
      <w:r w:rsidR="006A2FDE">
        <w:rPr>
          <w:rFonts w:ascii="Tahoma" w:eastAsia="Times New Roman" w:hAnsi="Tahoma" w:cs="Tahoma"/>
          <w:sz w:val="22"/>
          <w:szCs w:val="22"/>
        </w:rPr>
        <w:t xml:space="preserve">  </w:t>
      </w:r>
      <w:r w:rsidRPr="0085621B">
        <w:rPr>
          <w:rFonts w:ascii="Tahoma" w:eastAsia="Times New Roman" w:hAnsi="Tahoma" w:cs="Tahoma"/>
          <w:sz w:val="22"/>
          <w:szCs w:val="22"/>
        </w:rPr>
        <w:t xml:space="preserve">z dnia 8 stycznia 1997 r. w sprawie szczegółowych zasad udzielania urlopu wypoczynkowego, ustalania i wypłacania wynagrodzenia za czas urlopu oraz </w:t>
      </w:r>
      <w:r w:rsidRPr="0085621B">
        <w:rPr>
          <w:rFonts w:ascii="Tahoma" w:eastAsia="Times New Roman" w:hAnsi="Tahoma" w:cs="Tahoma"/>
          <w:sz w:val="22"/>
          <w:szCs w:val="22"/>
        </w:rPr>
        <w:lastRenderedPageBreak/>
        <w:t>ekwiwalentu pieniężnego za urlop (</w:t>
      </w:r>
      <w:proofErr w:type="spellStart"/>
      <w:r w:rsidRPr="0085621B">
        <w:rPr>
          <w:rFonts w:ascii="Tahoma" w:eastAsia="Times New Roman" w:hAnsi="Tahoma" w:cs="Tahoma"/>
          <w:sz w:val="22"/>
          <w:szCs w:val="22"/>
        </w:rPr>
        <w:t>Dz.U.Nr</w:t>
      </w:r>
      <w:proofErr w:type="spellEnd"/>
      <w:r w:rsidRPr="0085621B">
        <w:rPr>
          <w:rFonts w:ascii="Tahoma" w:eastAsia="Times New Roman" w:hAnsi="Tahoma" w:cs="Tahoma"/>
          <w:sz w:val="22"/>
          <w:szCs w:val="22"/>
        </w:rPr>
        <w:t xml:space="preserve"> 2, poz. 14 ze zm.).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 Wynagrodzenie miesięczne należało podzielić przez dni robocze z miesiąca korzystania z dnia wolnego, a w kontrolowanej jednostce podzielono przez 30. </w:t>
      </w:r>
    </w:p>
    <w:p w:rsidR="0085621B" w:rsidRPr="0085621B" w:rsidRDefault="0085621B" w:rsidP="0085621B">
      <w:pPr>
        <w:widowControl/>
        <w:numPr>
          <w:ilvl w:val="0"/>
          <w:numId w:val="15"/>
        </w:numPr>
        <w:tabs>
          <w:tab w:val="left" w:pos="426"/>
        </w:tabs>
        <w:suppressAutoHyphens w:val="0"/>
        <w:spacing w:before="22" w:line="360" w:lineRule="auto"/>
        <w:ind w:left="567" w:hanging="283"/>
        <w:contextualSpacing/>
        <w:jc w:val="both"/>
        <w:rPr>
          <w:rFonts w:ascii="Tahoma" w:eastAsia="Calibri" w:hAnsi="Tahoma" w:cs="Tahoma"/>
          <w:sz w:val="22"/>
          <w:szCs w:val="22"/>
        </w:rPr>
      </w:pP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dla dwóch nauczycieli - kwoty wynagrodzenia za dni opieki na dziecko w wieku do 14 lat  przysługujące na podstawie art. 188 ustawy z dnia 26 czerwca 1974 r. Kodeks Pracy (Dz.U.2014.1502 j.t. ze zm.) wyliczono niezgodnie z § 5 ust. 2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>rozporządzenia Ministra Edukacji Narodowej z dnia 26 czerwca 2001 r. w sprawie szczegółowych zasad ustalania wynagrodzenia oraz ekwiwalentu pieniężnego za urlop wypoczynkowy nauczycieli (</w:t>
      </w:r>
      <w:proofErr w:type="spellStart"/>
      <w:r w:rsidRPr="0085621B">
        <w:rPr>
          <w:rFonts w:ascii="Tahoma" w:eastAsia="Calibri" w:hAnsi="Tahoma" w:cs="Tahoma"/>
          <w:sz w:val="22"/>
          <w:szCs w:val="22"/>
          <w:lang w:eastAsia="en-US"/>
        </w:rPr>
        <w:t>Dz.U</w:t>
      </w:r>
      <w:proofErr w:type="spellEnd"/>
      <w:r w:rsidRPr="0085621B">
        <w:rPr>
          <w:rFonts w:ascii="Tahoma" w:eastAsia="Calibri" w:hAnsi="Tahoma" w:cs="Tahoma"/>
          <w:sz w:val="22"/>
          <w:szCs w:val="22"/>
          <w:lang w:eastAsia="en-US"/>
        </w:rPr>
        <w:t>.</w:t>
      </w:r>
      <w:r w:rsidR="00763D5C">
        <w:rPr>
          <w:rFonts w:ascii="Tahoma" w:eastAsia="Calibri" w:hAnsi="Tahoma" w:cs="Tahoma"/>
          <w:sz w:val="22"/>
          <w:szCs w:val="22"/>
          <w:lang w:eastAsia="en-US"/>
        </w:rPr>
        <w:t xml:space="preserve"> Nr 71, poz. 737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 ze zm.).</w:t>
      </w: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 Wynagrodzenie miesięczne nauczycieli należało podzielić przez 21, a w kontrolowanej jednostce podzielono przez 30.</w:t>
      </w:r>
    </w:p>
    <w:p w:rsidR="0085621B" w:rsidRPr="0085621B" w:rsidRDefault="0085621B" w:rsidP="0085621B">
      <w:pPr>
        <w:widowControl/>
        <w:numPr>
          <w:ilvl w:val="0"/>
          <w:numId w:val="15"/>
        </w:numPr>
        <w:tabs>
          <w:tab w:val="left" w:pos="426"/>
        </w:tabs>
        <w:suppressAutoHyphens w:val="0"/>
        <w:spacing w:before="22" w:line="360" w:lineRule="auto"/>
        <w:ind w:left="567" w:hanging="283"/>
        <w:contextualSpacing/>
        <w:jc w:val="both"/>
        <w:rPr>
          <w:rFonts w:ascii="Tahoma" w:eastAsia="Calibri" w:hAnsi="Tahoma" w:cs="Tahoma"/>
          <w:sz w:val="22"/>
          <w:szCs w:val="22"/>
        </w:rPr>
      </w:pPr>
      <w:r w:rsidRPr="0085621B">
        <w:rPr>
          <w:rFonts w:ascii="Tahoma" w:eastAsia="Times New Roman" w:hAnsi="Tahoma" w:cs="Tahoma"/>
          <w:sz w:val="22"/>
          <w:szCs w:val="22"/>
          <w:lang w:eastAsia="en-US"/>
        </w:rPr>
        <w:t xml:space="preserve">dodatkowo, dla jednego nauczyciela, wyliczając kwotę wynagrodzenia za dni opieki na dziecko w wieku do 14 lat, do podstawy nie </w:t>
      </w:r>
      <w:r w:rsidRPr="0085621B">
        <w:rPr>
          <w:rFonts w:ascii="Tahoma" w:eastAsia="Calibri" w:hAnsi="Tahoma" w:cs="Tahoma"/>
          <w:sz w:val="22"/>
          <w:szCs w:val="22"/>
          <w:lang w:eastAsia="en-US"/>
        </w:rPr>
        <w:t>przyjęto wynagrodzenia za godziny doraźnych zastępstw zrealizowanych w miesiącu korzystania z dni wolnych, co jest niezgodne z  § 5  rozporządzenia Ministra Pracy i Polityki Socjalnej z dnia 29 maja 1996 r. w sprawie sposobu ustalania wynagrodzenia w okresie niewykonywania pracy oraz wynagrodzenia stanowiącego podstawę obliczania odszkodowań, odpraw, dodatków wyrównawczych do wynagrodzenia oraz innych należności przewidzianych w Kodeksie pracy (</w:t>
      </w:r>
      <w:proofErr w:type="spellStart"/>
      <w:r w:rsidRPr="0085621B">
        <w:rPr>
          <w:rFonts w:ascii="Tahoma" w:eastAsia="Calibri" w:hAnsi="Tahoma" w:cs="Tahoma"/>
          <w:sz w:val="22"/>
          <w:szCs w:val="22"/>
          <w:lang w:eastAsia="en-US"/>
        </w:rPr>
        <w:t>Dz.U</w:t>
      </w:r>
      <w:proofErr w:type="spellEnd"/>
      <w:r w:rsidRPr="0085621B">
        <w:rPr>
          <w:rFonts w:ascii="Tahoma" w:eastAsia="Calibri" w:hAnsi="Tahoma" w:cs="Tahoma"/>
          <w:sz w:val="22"/>
          <w:szCs w:val="22"/>
          <w:lang w:eastAsia="en-US"/>
        </w:rPr>
        <w:t xml:space="preserve">. Nr 62, poz. 289 ze zm.). </w:t>
      </w:r>
    </w:p>
    <w:p w:rsidR="0085621B" w:rsidRPr="0085621B" w:rsidRDefault="0085621B" w:rsidP="0085621B">
      <w:pPr>
        <w:tabs>
          <w:tab w:val="left" w:pos="426"/>
        </w:tabs>
        <w:spacing w:before="22" w:line="360" w:lineRule="auto"/>
        <w:ind w:left="284"/>
        <w:jc w:val="both"/>
        <w:rPr>
          <w:rFonts w:ascii="Tahoma" w:eastAsiaTheme="minorHAnsi" w:hAnsi="Tahoma" w:cs="Tahoma"/>
          <w:sz w:val="22"/>
          <w:szCs w:val="22"/>
        </w:rPr>
      </w:pPr>
      <w:r w:rsidRPr="0085621B">
        <w:rPr>
          <w:rFonts w:ascii="Tahoma" w:eastAsiaTheme="minorHAnsi" w:hAnsi="Tahoma" w:cs="Tahoma"/>
          <w:sz w:val="22"/>
          <w:szCs w:val="22"/>
        </w:rPr>
        <w:t xml:space="preserve">Powyższe działania, spowodowały nieznaczną różnicę między wysokością należnego dodatkowego wynagrodzenia rocznego i wypłaconego pracownikom, jednak świadczą </w:t>
      </w:r>
      <w:r w:rsidR="00016DC0">
        <w:rPr>
          <w:rFonts w:ascii="Tahoma" w:eastAsiaTheme="minorHAnsi" w:hAnsi="Tahoma" w:cs="Tahoma"/>
          <w:sz w:val="22"/>
          <w:szCs w:val="22"/>
        </w:rPr>
        <w:t xml:space="preserve">      </w:t>
      </w:r>
      <w:r w:rsidRPr="0085621B">
        <w:rPr>
          <w:rFonts w:ascii="Tahoma" w:eastAsiaTheme="minorHAnsi" w:hAnsi="Tahoma" w:cs="Tahoma"/>
          <w:sz w:val="22"/>
          <w:szCs w:val="22"/>
        </w:rPr>
        <w:t>o nie zachowaniu zasad obowiązujących przy wyliczaniu dodatkowego wynagrodzenia rocznego (s</w:t>
      </w:r>
      <w:r w:rsidRPr="0085621B">
        <w:rPr>
          <w:rFonts w:ascii="Tahoma" w:eastAsia="Calibri" w:hAnsi="Tahoma" w:cs="Tahoma"/>
          <w:sz w:val="22"/>
          <w:szCs w:val="22"/>
        </w:rPr>
        <w:t>tr.</w:t>
      </w:r>
      <w:r w:rsidR="00E01B5C">
        <w:rPr>
          <w:rFonts w:ascii="Tahoma" w:eastAsia="Calibri" w:hAnsi="Tahoma" w:cs="Tahoma"/>
          <w:sz w:val="22"/>
          <w:szCs w:val="22"/>
        </w:rPr>
        <w:t xml:space="preserve">21-22 </w:t>
      </w:r>
      <w:r w:rsidRPr="0085621B">
        <w:rPr>
          <w:rFonts w:ascii="Tahoma" w:eastAsia="Calibri" w:hAnsi="Tahoma" w:cs="Tahoma"/>
          <w:sz w:val="22"/>
          <w:szCs w:val="22"/>
        </w:rPr>
        <w:t>protokołu).</w:t>
      </w:r>
    </w:p>
    <w:p w:rsidR="001D7460" w:rsidRPr="0085621B" w:rsidRDefault="00DD2FB7" w:rsidP="00CA4C8D">
      <w:pPr>
        <w:pStyle w:val="Akapitzlist"/>
        <w:spacing w:before="100" w:beforeAutospacing="1" w:after="200"/>
        <w:ind w:left="284"/>
        <w:rPr>
          <w:rFonts w:ascii="Tahoma" w:hAnsi="Tahoma" w:cs="Tahoma"/>
          <w:b/>
          <w:sz w:val="22"/>
          <w:szCs w:val="22"/>
        </w:rPr>
      </w:pPr>
      <w:r w:rsidRPr="0085621B">
        <w:rPr>
          <w:rFonts w:ascii="Tahoma" w:hAnsi="Tahoma" w:cs="Tahoma"/>
          <w:b/>
          <w:sz w:val="22"/>
          <w:szCs w:val="22"/>
        </w:rPr>
        <w:t>Wnioski pokontrolne</w:t>
      </w:r>
    </w:p>
    <w:p w:rsidR="00685E79" w:rsidRPr="0085621B" w:rsidRDefault="00763D5C" w:rsidP="006064E9">
      <w:pPr>
        <w:widowControl/>
        <w:numPr>
          <w:ilvl w:val="0"/>
          <w:numId w:val="2"/>
        </w:numPr>
        <w:suppressAutoHyphens w:val="0"/>
        <w:spacing w:before="100" w:beforeAutospacing="1" w:line="360" w:lineRule="auto"/>
        <w:ind w:left="357" w:hanging="357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zakresie ustala</w:t>
      </w:r>
      <w:r w:rsidR="00016DC0">
        <w:rPr>
          <w:rFonts w:ascii="Tahoma" w:hAnsi="Tahoma" w:cs="Tahoma"/>
          <w:sz w:val="22"/>
          <w:szCs w:val="22"/>
        </w:rPr>
        <w:t xml:space="preserve">nia wynagrodzenia za godziny doraźnych zastępstw przestrzegać zapisów § 6 ust. 1 </w:t>
      </w:r>
      <w:r w:rsidR="00016DC0" w:rsidRPr="0085621B">
        <w:rPr>
          <w:rFonts w:ascii="Tahoma" w:eastAsia="Times New Roman" w:hAnsi="Tahoma" w:cs="Tahoma"/>
          <w:sz w:val="22"/>
          <w:szCs w:val="22"/>
          <w:lang w:eastAsia="en-US"/>
        </w:rPr>
        <w:t>Uchwały Nr XX/421/2009 Rady Miejskiej w Elblągu z dnia 19 marca 2009 r. w sprawie regulaminu wynagradzania nauczycieli zatrudnionych w szkołach prowadzonych przez Miasto Elbląg ze zmianami.</w:t>
      </w:r>
    </w:p>
    <w:p w:rsidR="009A1B79" w:rsidRPr="0085621B" w:rsidRDefault="009A1B79" w:rsidP="006064E9">
      <w:pPr>
        <w:widowControl/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rPr>
          <w:rFonts w:ascii="Tahoma" w:hAnsi="Tahoma" w:cs="Tahoma"/>
          <w:bCs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 xml:space="preserve">Ustalać prawidłowo dzień nabycia prawa do nagrody jubileuszowej </w:t>
      </w:r>
      <w:r w:rsidR="00326D12">
        <w:rPr>
          <w:rFonts w:ascii="Tahoma" w:hAnsi="Tahoma" w:cs="Tahoma"/>
          <w:sz w:val="22"/>
          <w:szCs w:val="22"/>
        </w:rPr>
        <w:t xml:space="preserve">zgodnie z </w:t>
      </w:r>
      <w:r w:rsidR="00326D12" w:rsidRPr="0085621B">
        <w:rPr>
          <w:rFonts w:ascii="Tahoma" w:hAnsi="Tahoma" w:cs="Tahoma"/>
          <w:sz w:val="22"/>
          <w:szCs w:val="22"/>
        </w:rPr>
        <w:t xml:space="preserve">§ </w:t>
      </w:r>
      <w:r w:rsidR="00326D12">
        <w:rPr>
          <w:rFonts w:ascii="Tahoma" w:hAnsi="Tahoma" w:cs="Tahoma"/>
          <w:sz w:val="22"/>
          <w:szCs w:val="22"/>
        </w:rPr>
        <w:t>2</w:t>
      </w:r>
      <w:r w:rsidR="00326D12" w:rsidRPr="0085621B">
        <w:rPr>
          <w:rFonts w:ascii="Tahoma" w:hAnsi="Tahoma" w:cs="Tahoma"/>
          <w:sz w:val="22"/>
          <w:szCs w:val="22"/>
        </w:rPr>
        <w:t xml:space="preserve"> ust.1 rozporządzenia Ministra Edukacji Narodowej i Sportu z dnia 30 października 2001 r. </w:t>
      </w:r>
      <w:r w:rsidR="00326D12">
        <w:rPr>
          <w:rFonts w:ascii="Tahoma" w:hAnsi="Tahoma" w:cs="Tahoma"/>
          <w:sz w:val="22"/>
          <w:szCs w:val="22"/>
        </w:rPr>
        <w:t xml:space="preserve">        </w:t>
      </w:r>
      <w:r w:rsidR="00326D12" w:rsidRPr="0085621B">
        <w:rPr>
          <w:rFonts w:ascii="Tahoma" w:hAnsi="Tahoma" w:cs="Tahoma"/>
          <w:sz w:val="22"/>
          <w:szCs w:val="22"/>
        </w:rPr>
        <w:t>w sprawie szczegółowych zasad ustalania okresów pracy i innych okresów uprawniających nauczyciela do nagrody jubileuszowej oraz szczegółowych zasad jej obliczania i wypłac</w:t>
      </w:r>
      <w:r w:rsidR="00326D12">
        <w:rPr>
          <w:rFonts w:ascii="Tahoma" w:hAnsi="Tahoma" w:cs="Tahoma"/>
          <w:sz w:val="22"/>
          <w:szCs w:val="22"/>
        </w:rPr>
        <w:t xml:space="preserve">ania (Dz. U. Nr 128, poz. 1418), </w:t>
      </w:r>
      <w:r w:rsidRPr="0085621B">
        <w:rPr>
          <w:rFonts w:ascii="Tahoma" w:hAnsi="Tahoma" w:cs="Tahoma"/>
          <w:sz w:val="22"/>
          <w:szCs w:val="22"/>
        </w:rPr>
        <w:t xml:space="preserve">uwzględniając przepisy zawarte w art. 174 § 2 </w:t>
      </w:r>
      <w:r w:rsidR="00BB3D41" w:rsidRPr="0085621B">
        <w:rPr>
          <w:rFonts w:ascii="Tahoma" w:hAnsi="Tahoma" w:cs="Tahoma"/>
          <w:sz w:val="22"/>
          <w:szCs w:val="22"/>
        </w:rPr>
        <w:t xml:space="preserve">ustawy z dnia 26 czerwca 1974 r. </w:t>
      </w:r>
      <w:r w:rsidRPr="0085621B">
        <w:rPr>
          <w:rFonts w:ascii="Tahoma" w:hAnsi="Tahoma" w:cs="Tahoma"/>
          <w:sz w:val="22"/>
          <w:szCs w:val="22"/>
        </w:rPr>
        <w:t>Kodeks pracy (Dz.U.2014.1502.j.t.</w:t>
      </w:r>
      <w:r w:rsidR="00763D5C">
        <w:rPr>
          <w:rFonts w:ascii="Tahoma" w:hAnsi="Tahoma" w:cs="Tahoma"/>
          <w:sz w:val="22"/>
          <w:szCs w:val="22"/>
        </w:rPr>
        <w:t xml:space="preserve"> ze zm.</w:t>
      </w:r>
      <w:r w:rsidR="00BB3D41" w:rsidRPr="0085621B">
        <w:rPr>
          <w:rFonts w:ascii="Tahoma" w:hAnsi="Tahoma" w:cs="Tahoma"/>
          <w:sz w:val="22"/>
          <w:szCs w:val="22"/>
        </w:rPr>
        <w:t>).</w:t>
      </w:r>
      <w:r w:rsidR="001B7791" w:rsidRPr="0085621B">
        <w:rPr>
          <w:rFonts w:ascii="Tahoma" w:hAnsi="Tahoma" w:cs="Tahoma"/>
          <w:sz w:val="22"/>
          <w:szCs w:val="22"/>
        </w:rPr>
        <w:t xml:space="preserve">  </w:t>
      </w:r>
    </w:p>
    <w:p w:rsidR="002F39D3" w:rsidRPr="00016DC0" w:rsidRDefault="002F39D3" w:rsidP="002F39D3">
      <w:pPr>
        <w:widowControl/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rPr>
          <w:rFonts w:ascii="Tahoma" w:hAnsi="Tahoma" w:cs="Tahoma"/>
          <w:bCs/>
          <w:sz w:val="22"/>
          <w:szCs w:val="22"/>
        </w:rPr>
      </w:pPr>
      <w:r w:rsidRPr="00016DC0">
        <w:rPr>
          <w:rFonts w:ascii="Tahoma" w:hAnsi="Tahoma" w:cs="Tahoma"/>
          <w:sz w:val="22"/>
          <w:szCs w:val="22"/>
        </w:rPr>
        <w:t xml:space="preserve">Przy wyliczaniu wysokości nagród jubileuszowych przestrzegać § 4 rozporządzenia Ministra Edukacji Narodowej z dnia 26 czerwca 2001 r. w sprawie szczegółowych zasad </w:t>
      </w:r>
      <w:r w:rsidRPr="00016DC0">
        <w:rPr>
          <w:rFonts w:ascii="Tahoma" w:hAnsi="Tahoma" w:cs="Tahoma"/>
          <w:sz w:val="22"/>
          <w:szCs w:val="22"/>
        </w:rPr>
        <w:lastRenderedPageBreak/>
        <w:t>ustalania wynagrodzenia oraz ekwiwalentu pieniężnego za urlop wypoczynkowy nau</w:t>
      </w:r>
      <w:r w:rsidR="00763D5C">
        <w:rPr>
          <w:rFonts w:ascii="Tahoma" w:hAnsi="Tahoma" w:cs="Tahoma"/>
          <w:sz w:val="22"/>
          <w:szCs w:val="22"/>
        </w:rPr>
        <w:t>czycieli (</w:t>
      </w:r>
      <w:proofErr w:type="spellStart"/>
      <w:r w:rsidR="00763D5C">
        <w:rPr>
          <w:rFonts w:ascii="Tahoma" w:hAnsi="Tahoma" w:cs="Tahoma"/>
          <w:sz w:val="22"/>
          <w:szCs w:val="22"/>
        </w:rPr>
        <w:t>Dz.U</w:t>
      </w:r>
      <w:proofErr w:type="spellEnd"/>
      <w:r w:rsidR="00763D5C">
        <w:rPr>
          <w:rFonts w:ascii="Tahoma" w:hAnsi="Tahoma" w:cs="Tahoma"/>
          <w:sz w:val="22"/>
          <w:szCs w:val="22"/>
        </w:rPr>
        <w:t>. Nr 71, poz. 737</w:t>
      </w:r>
      <w:r w:rsidRPr="00016DC0">
        <w:rPr>
          <w:rFonts w:ascii="Tahoma" w:hAnsi="Tahoma" w:cs="Tahoma"/>
          <w:sz w:val="22"/>
          <w:szCs w:val="22"/>
        </w:rPr>
        <w:t xml:space="preserve"> ze zm.). Dla nauczycieli, którzy nabyli prawo             do nagrody jubileuszowej w miesiącu wrześniu,  należy stosować art. 39 ust. 4 ustawy         z dnia 26 stycznia 1982 r. Karta Nauczyciela (Dz.U.2014.191 j.t. ze zm.) i wypłacać nagrody w ostatnim dniu miesiąca z uwzględnieniem godzin ponadwymiarowych zrealizowanych w tym miesiącu. </w:t>
      </w:r>
    </w:p>
    <w:p w:rsidR="00016DC0" w:rsidRPr="00016DC0" w:rsidRDefault="00016DC0" w:rsidP="00016DC0">
      <w:pPr>
        <w:widowControl/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rPr>
          <w:rFonts w:ascii="Tahoma" w:hAnsi="Tahoma" w:cs="Tahoma"/>
          <w:bCs/>
          <w:color w:val="00B050"/>
          <w:sz w:val="22"/>
          <w:szCs w:val="22"/>
        </w:rPr>
      </w:pPr>
      <w:r w:rsidRPr="00016DC0">
        <w:rPr>
          <w:rFonts w:ascii="Tahoma" w:hAnsi="Tahoma" w:cs="Tahoma"/>
          <w:bCs/>
          <w:sz w:val="22"/>
          <w:szCs w:val="22"/>
        </w:rPr>
        <w:t>Przy naliczaniu wysokości dodatkowego wynagrodzenia rocznego stosować przepisy     art. 4 ustawy</w:t>
      </w:r>
      <w:r w:rsidRPr="00016DC0">
        <w:rPr>
          <w:rFonts w:ascii="Tahoma" w:hAnsi="Tahoma" w:cs="Tahoma"/>
          <w:sz w:val="22"/>
          <w:szCs w:val="22"/>
        </w:rPr>
        <w:t xml:space="preserve"> z dnia 12 grudnia 1997 r. o dodatkowym wynagrodzeniu rocznym dla pracowników jednostek sfery budżetowej (Dz.U.2013.1144</w:t>
      </w:r>
      <w:r w:rsidR="00144FBD">
        <w:rPr>
          <w:rFonts w:ascii="Tahoma" w:hAnsi="Tahoma" w:cs="Tahoma"/>
          <w:sz w:val="22"/>
          <w:szCs w:val="22"/>
        </w:rPr>
        <w:t>.</w:t>
      </w:r>
      <w:r w:rsidRPr="00016DC0">
        <w:rPr>
          <w:rFonts w:ascii="Tahoma" w:hAnsi="Tahoma" w:cs="Tahoma"/>
          <w:sz w:val="22"/>
          <w:szCs w:val="22"/>
        </w:rPr>
        <w:t>j.t.) przy uwzględnieniu         w szczególności:</w:t>
      </w:r>
    </w:p>
    <w:p w:rsidR="00016DC0" w:rsidRPr="0076268B" w:rsidRDefault="00016DC0" w:rsidP="00016DC0">
      <w:pPr>
        <w:numPr>
          <w:ilvl w:val="0"/>
          <w:numId w:val="8"/>
        </w:numPr>
        <w:spacing w:line="360" w:lineRule="auto"/>
        <w:ind w:left="714" w:hanging="357"/>
        <w:jc w:val="both"/>
        <w:rPr>
          <w:rFonts w:ascii="Tahoma" w:hAnsi="Tahoma" w:cs="Tahoma"/>
          <w:bCs/>
          <w:sz w:val="22"/>
          <w:szCs w:val="22"/>
        </w:rPr>
      </w:pPr>
      <w:r w:rsidRPr="0076268B">
        <w:rPr>
          <w:rFonts w:ascii="Tahoma" w:hAnsi="Tahoma" w:cs="Tahoma"/>
          <w:sz w:val="22"/>
          <w:szCs w:val="22"/>
        </w:rPr>
        <w:t>rozporządzenia Ministra Pracy i Polityki Socjalnej z dnia 29 maja 1996 r. w sprawie ustalania wynagrodzenia w okresie niewykonywania pracy oraz wynagrodzenia stanowiącego podstawę obliczania odszkodowań, odpraw, dodatków wyrównawczych do wynagrodzenia oraz innych należności przewidzianych w Kodeksie pracy (</w:t>
      </w:r>
      <w:proofErr w:type="spellStart"/>
      <w:r w:rsidRPr="0076268B">
        <w:rPr>
          <w:rFonts w:ascii="Tahoma" w:hAnsi="Tahoma" w:cs="Tahoma"/>
          <w:sz w:val="22"/>
          <w:szCs w:val="22"/>
        </w:rPr>
        <w:t>Dz.U</w:t>
      </w:r>
      <w:proofErr w:type="spellEnd"/>
      <w:r w:rsidRPr="0076268B">
        <w:rPr>
          <w:rFonts w:ascii="Tahoma" w:hAnsi="Tahoma" w:cs="Tahoma"/>
          <w:sz w:val="22"/>
          <w:szCs w:val="22"/>
        </w:rPr>
        <w:t>. Nr 62, poz. 289 ze zm.),</w:t>
      </w:r>
    </w:p>
    <w:p w:rsidR="00016DC0" w:rsidRPr="0076268B" w:rsidRDefault="00016DC0" w:rsidP="00016DC0">
      <w:pPr>
        <w:numPr>
          <w:ilvl w:val="0"/>
          <w:numId w:val="8"/>
        </w:numPr>
        <w:spacing w:line="360" w:lineRule="auto"/>
        <w:ind w:left="714" w:hanging="357"/>
        <w:jc w:val="both"/>
        <w:rPr>
          <w:rFonts w:ascii="Tahoma" w:hAnsi="Tahoma" w:cs="Tahoma"/>
          <w:bCs/>
          <w:sz w:val="22"/>
          <w:szCs w:val="22"/>
        </w:rPr>
      </w:pPr>
      <w:r w:rsidRPr="0076268B">
        <w:rPr>
          <w:rFonts w:ascii="Tahoma" w:hAnsi="Tahoma" w:cs="Tahoma"/>
          <w:sz w:val="22"/>
          <w:szCs w:val="22"/>
        </w:rPr>
        <w:t>rozporządzenia Ministra Edukacji Narodowej z dnia 26 czerwca 2001 r. w sprawie szczegółowych zasad ustalania wynagrodzenia oraz ekwiwalentu pieniężnego za urlop wypoczynkowy nauczycieli</w:t>
      </w:r>
      <w:r w:rsidR="003D4BA4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="003D4BA4">
        <w:rPr>
          <w:rFonts w:ascii="Tahoma" w:hAnsi="Tahoma" w:cs="Tahoma"/>
          <w:sz w:val="22"/>
          <w:szCs w:val="22"/>
        </w:rPr>
        <w:t>Dz.U</w:t>
      </w:r>
      <w:proofErr w:type="spellEnd"/>
      <w:r w:rsidR="003D4BA4">
        <w:rPr>
          <w:rFonts w:ascii="Tahoma" w:hAnsi="Tahoma" w:cs="Tahoma"/>
          <w:sz w:val="22"/>
          <w:szCs w:val="22"/>
        </w:rPr>
        <w:t>. Nr 71, poz. 737 ze zm.),</w:t>
      </w:r>
    </w:p>
    <w:p w:rsidR="00016DC0" w:rsidRPr="0076268B" w:rsidRDefault="00016DC0" w:rsidP="00016DC0">
      <w:pPr>
        <w:numPr>
          <w:ilvl w:val="0"/>
          <w:numId w:val="8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76268B">
        <w:rPr>
          <w:rFonts w:ascii="Tahoma" w:hAnsi="Tahoma" w:cs="Tahoma"/>
          <w:sz w:val="22"/>
          <w:szCs w:val="22"/>
        </w:rPr>
        <w:t xml:space="preserve">rozporządzenia Ministra Pracy i Polityki Socjalnej z dnia 8 stycznia 1997 r. w sprawie szczegółowych zasad udzielania urlopu wypoczynkowego, ustalania i wypłacania wynagrodzenia za czas urlopu oraz ekwiwalentu pieniężnego za urlop ( </w:t>
      </w:r>
      <w:proofErr w:type="spellStart"/>
      <w:r w:rsidRPr="0076268B">
        <w:rPr>
          <w:rFonts w:ascii="Tahoma" w:hAnsi="Tahoma" w:cs="Tahoma"/>
          <w:sz w:val="22"/>
          <w:szCs w:val="22"/>
        </w:rPr>
        <w:t>Dz.U</w:t>
      </w:r>
      <w:proofErr w:type="spellEnd"/>
      <w:r w:rsidRPr="0076268B">
        <w:rPr>
          <w:rFonts w:ascii="Tahoma" w:hAnsi="Tahoma" w:cs="Tahoma"/>
          <w:sz w:val="22"/>
          <w:szCs w:val="22"/>
        </w:rPr>
        <w:t>. Nr 2, poz</w:t>
      </w:r>
      <w:r w:rsidRPr="00CC2823">
        <w:rPr>
          <w:rFonts w:ascii="Tahoma" w:hAnsi="Tahoma" w:cs="Tahoma"/>
          <w:sz w:val="22"/>
          <w:szCs w:val="22"/>
        </w:rPr>
        <w:t xml:space="preserve">. 14 ze </w:t>
      </w:r>
      <w:r w:rsidRPr="0076268B">
        <w:rPr>
          <w:rFonts w:ascii="Tahoma" w:hAnsi="Tahoma" w:cs="Tahoma"/>
          <w:sz w:val="22"/>
          <w:szCs w:val="22"/>
        </w:rPr>
        <w:t>zm.)</w:t>
      </w:r>
      <w:r>
        <w:rPr>
          <w:rFonts w:ascii="Tahoma" w:hAnsi="Tahoma" w:cs="Tahoma"/>
          <w:sz w:val="22"/>
          <w:szCs w:val="22"/>
        </w:rPr>
        <w:t>.</w:t>
      </w:r>
    </w:p>
    <w:p w:rsidR="005307C2" w:rsidRPr="0085621B" w:rsidRDefault="0091641F" w:rsidP="00B3161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ab/>
      </w:r>
    </w:p>
    <w:p w:rsidR="005307C2" w:rsidRPr="0085621B" w:rsidRDefault="005307C2" w:rsidP="001C7672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ab/>
      </w:r>
      <w:r w:rsidR="00A94CA2" w:rsidRPr="0085621B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85621B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85621B">
        <w:rPr>
          <w:rFonts w:ascii="Tahoma" w:hAnsi="Tahoma" w:cs="Tahoma"/>
          <w:sz w:val="22"/>
          <w:szCs w:val="22"/>
        </w:rPr>
        <w:t xml:space="preserve">   </w:t>
      </w:r>
      <w:r w:rsidR="00A94CA2" w:rsidRPr="0085621B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85621B">
        <w:rPr>
          <w:rFonts w:ascii="Tahoma" w:hAnsi="Tahoma" w:cs="Tahoma"/>
          <w:sz w:val="22"/>
          <w:szCs w:val="22"/>
        </w:rPr>
        <w:t xml:space="preserve">       </w:t>
      </w:r>
      <w:r w:rsidR="00A94CA2" w:rsidRPr="0085621B">
        <w:rPr>
          <w:rFonts w:ascii="Tahoma" w:hAnsi="Tahoma" w:cs="Tahoma"/>
          <w:sz w:val="22"/>
          <w:szCs w:val="22"/>
        </w:rPr>
        <w:t>w terminie 30</w:t>
      </w:r>
      <w:r w:rsidR="00435956" w:rsidRPr="0085621B">
        <w:rPr>
          <w:rFonts w:ascii="Tahoma" w:hAnsi="Tahoma" w:cs="Tahoma"/>
          <w:sz w:val="22"/>
          <w:szCs w:val="22"/>
        </w:rPr>
        <w:t xml:space="preserve"> </w:t>
      </w:r>
      <w:r w:rsidR="00A94CA2" w:rsidRPr="0085621B">
        <w:rPr>
          <w:rFonts w:ascii="Tahoma" w:hAnsi="Tahoma" w:cs="Tahoma"/>
          <w:sz w:val="22"/>
          <w:szCs w:val="22"/>
        </w:rPr>
        <w:t>dni od daty otrzymania niniejszego wystąpienia.</w:t>
      </w:r>
    </w:p>
    <w:p w:rsidR="005307C2" w:rsidRPr="0085621B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5307C2" w:rsidRPr="0085621B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E96FDF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E96FDF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E96FDF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85621B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85621B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85621B" w:rsidRDefault="005912A7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Departament </w:t>
      </w:r>
      <w:r w:rsidR="001C7672" w:rsidRPr="0085621B">
        <w:rPr>
          <w:rFonts w:ascii="Tahoma" w:hAnsi="Tahoma" w:cs="Tahoma"/>
          <w:sz w:val="22"/>
          <w:szCs w:val="22"/>
        </w:rPr>
        <w:t>Skarbnik</w:t>
      </w:r>
      <w:r>
        <w:rPr>
          <w:rFonts w:ascii="Tahoma" w:hAnsi="Tahoma" w:cs="Tahoma"/>
          <w:sz w:val="22"/>
          <w:szCs w:val="22"/>
        </w:rPr>
        <w:t>a</w:t>
      </w:r>
      <w:r w:rsidR="001C7672" w:rsidRPr="0085621B">
        <w:rPr>
          <w:rFonts w:ascii="Tahoma" w:hAnsi="Tahoma" w:cs="Tahoma"/>
          <w:sz w:val="22"/>
          <w:szCs w:val="22"/>
        </w:rPr>
        <w:t xml:space="preserve"> Miasta </w:t>
      </w:r>
    </w:p>
    <w:p w:rsidR="00A94CA2" w:rsidRPr="0085621B" w:rsidRDefault="00A94CA2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85621B">
        <w:rPr>
          <w:rFonts w:ascii="Tahoma" w:hAnsi="Tahoma" w:cs="Tahoma"/>
          <w:sz w:val="22"/>
          <w:szCs w:val="22"/>
        </w:rPr>
        <w:t>Departament Edukacji</w:t>
      </w:r>
      <w:r w:rsidR="00FD7751">
        <w:rPr>
          <w:rFonts w:ascii="Tahoma" w:hAnsi="Tahoma" w:cs="Tahoma"/>
          <w:sz w:val="22"/>
          <w:szCs w:val="22"/>
        </w:rPr>
        <w:t>, Sportu i Turystki</w:t>
      </w:r>
      <w:r w:rsidRPr="0085621B">
        <w:rPr>
          <w:rFonts w:ascii="Tahoma" w:hAnsi="Tahoma" w:cs="Tahoma"/>
          <w:sz w:val="22"/>
          <w:szCs w:val="22"/>
        </w:rPr>
        <w:t xml:space="preserve"> UM w Elblągu</w:t>
      </w:r>
    </w:p>
    <w:sectPr w:rsidR="00A94CA2" w:rsidRPr="0085621B" w:rsidSect="00E96FD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BCB" w:rsidRDefault="00E54BCB" w:rsidP="0080004D">
      <w:r>
        <w:separator/>
      </w:r>
    </w:p>
  </w:endnote>
  <w:endnote w:type="continuationSeparator" w:id="0">
    <w:p w:rsidR="00E54BCB" w:rsidRDefault="00E54BCB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0219D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E01677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CE0EA83" wp14:editId="7B915A22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E54BCB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E54BCB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3C5D83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3C5D83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123BD38C" wp14:editId="1C2F6BD1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BCB" w:rsidRDefault="00E54BCB" w:rsidP="0080004D">
      <w:r>
        <w:separator/>
      </w:r>
    </w:p>
  </w:footnote>
  <w:footnote w:type="continuationSeparator" w:id="0">
    <w:p w:rsidR="00E54BCB" w:rsidRDefault="00E54BCB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E01677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AAC0B" wp14:editId="6006DFCF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E54BCB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3C5D8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E01677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C502CA" wp14:editId="5B089E40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E54BC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3C5D83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74ABF728" wp14:editId="0435BEAF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E54BCB">
    <w:pPr>
      <w:pStyle w:val="Nagwek"/>
    </w:pPr>
  </w:p>
  <w:p w:rsidR="00D81751" w:rsidRDefault="00E54BCB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5F06CB">
      <w:rPr>
        <w:sz w:val="22"/>
        <w:szCs w:val="22"/>
      </w:rPr>
      <w:t xml:space="preserve">      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85621B">
      <w:rPr>
        <w:rFonts w:ascii="Tahoma" w:hAnsi="Tahoma" w:cs="Tahoma"/>
        <w:sz w:val="22"/>
        <w:szCs w:val="22"/>
      </w:rPr>
      <w:t>29 maja</w:t>
    </w:r>
    <w:r>
      <w:rPr>
        <w:rFonts w:ascii="Tahoma" w:hAnsi="Tahoma" w:cs="Tahoma"/>
        <w:sz w:val="22"/>
        <w:szCs w:val="22"/>
      </w:rPr>
      <w:t xml:space="preserve"> 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A35B57"/>
    <w:multiLevelType w:val="hybridMultilevel"/>
    <w:tmpl w:val="7298C540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BA5CBE"/>
    <w:multiLevelType w:val="hybridMultilevel"/>
    <w:tmpl w:val="25569EEC"/>
    <w:lvl w:ilvl="0" w:tplc="0F8E082E">
      <w:start w:val="1"/>
      <w:numFmt w:val="lowerLetter"/>
      <w:lvlText w:val="%1)"/>
      <w:lvlJc w:val="left"/>
      <w:pPr>
        <w:ind w:left="862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2EC46325"/>
    <w:multiLevelType w:val="hybridMultilevel"/>
    <w:tmpl w:val="CA3AA3A4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F4E56"/>
    <w:multiLevelType w:val="hybridMultilevel"/>
    <w:tmpl w:val="2C76FEE8"/>
    <w:lvl w:ilvl="0" w:tplc="CD12B2E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86BC7"/>
    <w:multiLevelType w:val="hybridMultilevel"/>
    <w:tmpl w:val="F5FA2C80"/>
    <w:lvl w:ilvl="0" w:tplc="F7309D68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5818F162">
      <w:start w:val="1"/>
      <w:numFmt w:val="decimal"/>
      <w:lvlText w:val="%4."/>
      <w:lvlJc w:val="left"/>
      <w:pPr>
        <w:ind w:left="2662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54A5"/>
    <w:multiLevelType w:val="hybridMultilevel"/>
    <w:tmpl w:val="7C309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1">
    <w:nsid w:val="64945E38"/>
    <w:multiLevelType w:val="hybridMultilevel"/>
    <w:tmpl w:val="11C2B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8A8640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 w:tplc="4582ED34">
      <w:start w:val="1"/>
      <w:numFmt w:val="decimal"/>
      <w:lvlText w:val="%3)"/>
      <w:lvlJc w:val="left"/>
      <w:pPr>
        <w:tabs>
          <w:tab w:val="num" w:pos="397"/>
        </w:tabs>
        <w:ind w:left="72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65A4841"/>
    <w:multiLevelType w:val="multilevel"/>
    <w:tmpl w:val="91BEB9F0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ahoma" w:eastAsia="Times New Roman" w:hAnsi="Tahoma" w:cs="Tahoma"/>
        <w:b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6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1800"/>
      </w:pPr>
      <w:rPr>
        <w:rFonts w:hint="default"/>
      </w:rPr>
    </w:lvl>
  </w:abstractNum>
  <w:abstractNum w:abstractNumId="13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1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13"/>
  </w:num>
  <w:num w:numId="8">
    <w:abstractNumId w:val="5"/>
  </w:num>
  <w:num w:numId="9">
    <w:abstractNumId w:val="0"/>
  </w:num>
  <w:num w:numId="10">
    <w:abstractNumId w:val="4"/>
  </w:num>
  <w:num w:numId="11">
    <w:abstractNumId w:val="9"/>
  </w:num>
  <w:num w:numId="12">
    <w:abstractNumId w:val="11"/>
  </w:num>
  <w:num w:numId="13">
    <w:abstractNumId w:val="12"/>
  </w:num>
  <w:num w:numId="14">
    <w:abstractNumId w:val="7"/>
  </w:num>
  <w:num w:numId="15">
    <w:abstractNumId w:val="2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16DC0"/>
    <w:rsid w:val="000219D9"/>
    <w:rsid w:val="00022989"/>
    <w:rsid w:val="00072F65"/>
    <w:rsid w:val="0008582E"/>
    <w:rsid w:val="0008736E"/>
    <w:rsid w:val="000947A3"/>
    <w:rsid w:val="000A131B"/>
    <w:rsid w:val="000E54DD"/>
    <w:rsid w:val="001026CB"/>
    <w:rsid w:val="00144FBD"/>
    <w:rsid w:val="001659D9"/>
    <w:rsid w:val="00175086"/>
    <w:rsid w:val="001804A8"/>
    <w:rsid w:val="001911C0"/>
    <w:rsid w:val="00192C83"/>
    <w:rsid w:val="0019654A"/>
    <w:rsid w:val="001B7791"/>
    <w:rsid w:val="001C7672"/>
    <w:rsid w:val="001D7460"/>
    <w:rsid w:val="001F47AD"/>
    <w:rsid w:val="00200BC1"/>
    <w:rsid w:val="00243A48"/>
    <w:rsid w:val="002623F0"/>
    <w:rsid w:val="0027293A"/>
    <w:rsid w:val="00282888"/>
    <w:rsid w:val="002862CA"/>
    <w:rsid w:val="002955DC"/>
    <w:rsid w:val="00295CCE"/>
    <w:rsid w:val="002D23D4"/>
    <w:rsid w:val="002F39D3"/>
    <w:rsid w:val="00314D4D"/>
    <w:rsid w:val="0032634E"/>
    <w:rsid w:val="00326D12"/>
    <w:rsid w:val="0034634E"/>
    <w:rsid w:val="00351A95"/>
    <w:rsid w:val="003603D2"/>
    <w:rsid w:val="00382673"/>
    <w:rsid w:val="003C5D83"/>
    <w:rsid w:val="003D4B09"/>
    <w:rsid w:val="003D4BA4"/>
    <w:rsid w:val="00415F6B"/>
    <w:rsid w:val="00421969"/>
    <w:rsid w:val="004309EB"/>
    <w:rsid w:val="00435956"/>
    <w:rsid w:val="0047355C"/>
    <w:rsid w:val="004A12B5"/>
    <w:rsid w:val="004E2508"/>
    <w:rsid w:val="00507052"/>
    <w:rsid w:val="00520079"/>
    <w:rsid w:val="005307C2"/>
    <w:rsid w:val="00530D18"/>
    <w:rsid w:val="0056331F"/>
    <w:rsid w:val="0056475F"/>
    <w:rsid w:val="00574468"/>
    <w:rsid w:val="005748D2"/>
    <w:rsid w:val="005769BB"/>
    <w:rsid w:val="00576D0C"/>
    <w:rsid w:val="005912A7"/>
    <w:rsid w:val="005A18E9"/>
    <w:rsid w:val="005B2DB1"/>
    <w:rsid w:val="005C5EF0"/>
    <w:rsid w:val="005E0EE4"/>
    <w:rsid w:val="005F06CB"/>
    <w:rsid w:val="005F273B"/>
    <w:rsid w:val="005F5E88"/>
    <w:rsid w:val="006064E9"/>
    <w:rsid w:val="00612449"/>
    <w:rsid w:val="00630434"/>
    <w:rsid w:val="0063721F"/>
    <w:rsid w:val="006461DC"/>
    <w:rsid w:val="0066422F"/>
    <w:rsid w:val="00667692"/>
    <w:rsid w:val="00676364"/>
    <w:rsid w:val="00685E79"/>
    <w:rsid w:val="00697551"/>
    <w:rsid w:val="006A2FDE"/>
    <w:rsid w:val="006A5AF2"/>
    <w:rsid w:val="006B21CC"/>
    <w:rsid w:val="006B6C7D"/>
    <w:rsid w:val="006D1C74"/>
    <w:rsid w:val="006E0350"/>
    <w:rsid w:val="006E4707"/>
    <w:rsid w:val="006F7DE6"/>
    <w:rsid w:val="007423E9"/>
    <w:rsid w:val="00742BDD"/>
    <w:rsid w:val="007540D0"/>
    <w:rsid w:val="00763D5C"/>
    <w:rsid w:val="00772778"/>
    <w:rsid w:val="00786917"/>
    <w:rsid w:val="0079080A"/>
    <w:rsid w:val="007A02FF"/>
    <w:rsid w:val="007A5D68"/>
    <w:rsid w:val="007B28ED"/>
    <w:rsid w:val="007B49D3"/>
    <w:rsid w:val="007C12D5"/>
    <w:rsid w:val="007C3490"/>
    <w:rsid w:val="007D104C"/>
    <w:rsid w:val="007E3B97"/>
    <w:rsid w:val="007E4251"/>
    <w:rsid w:val="007F5850"/>
    <w:rsid w:val="0080004D"/>
    <w:rsid w:val="00803238"/>
    <w:rsid w:val="008052A3"/>
    <w:rsid w:val="008518A3"/>
    <w:rsid w:val="0085621B"/>
    <w:rsid w:val="00856B16"/>
    <w:rsid w:val="00876E3D"/>
    <w:rsid w:val="008847B3"/>
    <w:rsid w:val="00893B71"/>
    <w:rsid w:val="008B1123"/>
    <w:rsid w:val="008B292F"/>
    <w:rsid w:val="008C0DBE"/>
    <w:rsid w:val="008E6F8C"/>
    <w:rsid w:val="008F45FD"/>
    <w:rsid w:val="008F7924"/>
    <w:rsid w:val="009019A3"/>
    <w:rsid w:val="00915E04"/>
    <w:rsid w:val="0091641F"/>
    <w:rsid w:val="009576A5"/>
    <w:rsid w:val="009740A5"/>
    <w:rsid w:val="0097521F"/>
    <w:rsid w:val="009A1B79"/>
    <w:rsid w:val="009D093F"/>
    <w:rsid w:val="009D315D"/>
    <w:rsid w:val="00A03726"/>
    <w:rsid w:val="00A04FFD"/>
    <w:rsid w:val="00A171EB"/>
    <w:rsid w:val="00A27348"/>
    <w:rsid w:val="00A35488"/>
    <w:rsid w:val="00A35761"/>
    <w:rsid w:val="00A35BE3"/>
    <w:rsid w:val="00A6360A"/>
    <w:rsid w:val="00A66199"/>
    <w:rsid w:val="00A71404"/>
    <w:rsid w:val="00A83557"/>
    <w:rsid w:val="00A856BA"/>
    <w:rsid w:val="00A8591D"/>
    <w:rsid w:val="00A90117"/>
    <w:rsid w:val="00A94CA2"/>
    <w:rsid w:val="00AB5C6C"/>
    <w:rsid w:val="00AB62C4"/>
    <w:rsid w:val="00AC10C5"/>
    <w:rsid w:val="00AF045C"/>
    <w:rsid w:val="00B10666"/>
    <w:rsid w:val="00B11C71"/>
    <w:rsid w:val="00B21261"/>
    <w:rsid w:val="00B3161D"/>
    <w:rsid w:val="00B51013"/>
    <w:rsid w:val="00B6505E"/>
    <w:rsid w:val="00B66940"/>
    <w:rsid w:val="00B850A6"/>
    <w:rsid w:val="00B9139D"/>
    <w:rsid w:val="00B957A9"/>
    <w:rsid w:val="00BA0F6D"/>
    <w:rsid w:val="00BB3D41"/>
    <w:rsid w:val="00C16458"/>
    <w:rsid w:val="00C25572"/>
    <w:rsid w:val="00C429C0"/>
    <w:rsid w:val="00C50DCA"/>
    <w:rsid w:val="00C83AC6"/>
    <w:rsid w:val="00CA4C8D"/>
    <w:rsid w:val="00CA531D"/>
    <w:rsid w:val="00CA59D2"/>
    <w:rsid w:val="00CA69C7"/>
    <w:rsid w:val="00CF014E"/>
    <w:rsid w:val="00D0081E"/>
    <w:rsid w:val="00D43466"/>
    <w:rsid w:val="00D46CD3"/>
    <w:rsid w:val="00D602AD"/>
    <w:rsid w:val="00D64A81"/>
    <w:rsid w:val="00D72EAF"/>
    <w:rsid w:val="00D80A35"/>
    <w:rsid w:val="00D8601C"/>
    <w:rsid w:val="00DD0CA7"/>
    <w:rsid w:val="00DD2FB7"/>
    <w:rsid w:val="00DD7B83"/>
    <w:rsid w:val="00DE2BAB"/>
    <w:rsid w:val="00DE41FE"/>
    <w:rsid w:val="00E01677"/>
    <w:rsid w:val="00E01B5C"/>
    <w:rsid w:val="00E04642"/>
    <w:rsid w:val="00E161EB"/>
    <w:rsid w:val="00E321C1"/>
    <w:rsid w:val="00E358A9"/>
    <w:rsid w:val="00E46D34"/>
    <w:rsid w:val="00E54BCB"/>
    <w:rsid w:val="00E80807"/>
    <w:rsid w:val="00E84037"/>
    <w:rsid w:val="00E96FDF"/>
    <w:rsid w:val="00EB07D0"/>
    <w:rsid w:val="00EB1DD8"/>
    <w:rsid w:val="00ED4999"/>
    <w:rsid w:val="00EF10E5"/>
    <w:rsid w:val="00F41483"/>
    <w:rsid w:val="00F46CC9"/>
    <w:rsid w:val="00F50C00"/>
    <w:rsid w:val="00F57FBD"/>
    <w:rsid w:val="00F901E0"/>
    <w:rsid w:val="00F95C28"/>
    <w:rsid w:val="00FA0B2A"/>
    <w:rsid w:val="00FD26E3"/>
    <w:rsid w:val="00FD6FBA"/>
    <w:rsid w:val="00FD7751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5EEB7-0611-408C-B4D3-2789EEAF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2015-05-29T09:51:00Z</cp:lastPrinted>
  <dcterms:created xsi:type="dcterms:W3CDTF">2015-09-22T06:10:00Z</dcterms:created>
  <dcterms:modified xsi:type="dcterms:W3CDTF">2015-09-22T06:10:00Z</dcterms:modified>
</cp:coreProperties>
</file>